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footer3.xml" ContentType="application/vnd.openxmlformats-officedocument.wordprocessingml.footer+xml"/>
  <Override PartName="/word/footer2.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BayerHaberkorn1970 and novel wild derived isolates from house mice: differences in parasite lifecycle, pathogenicity and host immune reactions</w:t>
      </w:r>
    </w:p>
    <w:p>
      <w:pPr>
        <w:pStyle w:val="TextBody"/>
        <w:rPr/>
      </w:pPr>
      <w:r>
        <w:rPr/>
      </w:r>
    </w:p>
    <w:p>
      <w:pPr>
        <w:pStyle w:val="TextBody"/>
        <w:spacing w:lineRule="auto" w:line="360"/>
        <w:jc w:val="center"/>
        <w:rPr/>
      </w:pPr>
      <w:r>
        <w:rPr>
          <w:rFonts w:ascii="Times New Roman" w:hAnsi="Times New Roman"/>
          <w:bCs/>
          <w:lang w:val="de-DE"/>
        </w:rPr>
        <w:t>Al-</w:t>
      </w:r>
      <w:r>
        <w:rPr>
          <w:rFonts w:ascii="Times New Roman" w:hAnsi="Times New Roman"/>
          <w:bCs/>
          <w:lang w:val="de-DE"/>
        </w:rPr>
        <w:t>kh</w:t>
      </w:r>
      <w:r>
        <w:rPr>
          <w:rFonts w:ascii="Times New Roman" w:hAnsi="Times New Roman"/>
          <w:bCs/>
          <w:lang w:val="de-DE"/>
        </w:rPr>
        <w:t>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w:t>
      </w:r>
      <w:bookmarkStart w:id="0" w:name="__DdeLink__2539_3667316862"/>
      <w:r>
        <w:rPr>
          <w:rFonts w:cs="Times New Roman" w:ascii="Times New Roman" w:hAnsi="Times New Roman"/>
          <w:bCs/>
        </w:rPr>
        <w:t>Department Wildlife Diseases, Leibniz Institute for Zoo and Wildlife Research</w:t>
      </w:r>
      <w:bookmarkEnd w:id="0"/>
      <w:r>
        <w:rPr>
          <w:rFonts w:cs="Times New Roman" w:ascii="Times New Roman" w:hAnsi="Times New Roman"/>
          <w:bCs/>
        </w:rPr>
        <w:t>,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(Apicomplexa:Coccidia) differ in the timing of lifecycle progression and resulting infections vary in host immune reactions and pathology they induce. </w:t>
      </w:r>
      <w:r>
        <w:rPr>
          <w:rFonts w:ascii="Times New Roman" w:hAnsi="Times New Roman"/>
          <w:i/>
          <w:iCs/>
        </w:rPr>
        <w:t>Eimeria</w:t>
      </w:r>
      <w:r>
        <w:rPr>
          <w:rFonts w:ascii="Times New Roman" w:hAnsi="Times New Roman"/>
        </w:rPr>
        <w:t xml:space="preserve"> infections in house mice are used as models for basic immunology and the most commonly used isolates have been passaged in laboratory mice for over 50 years. We questioned in how far such isolates are still representative for infections in natural systems. </w:t>
      </w:r>
    </w:p>
    <w:p>
      <w:pPr>
        <w:pStyle w:val="TextBody"/>
        <w:spacing w:lineRule="auto" w:line="360"/>
        <w:jc w:val="both"/>
        <w:rPr/>
      </w:pPr>
      <w:r>
        <w:rPr>
          <w:rFonts w:ascii="Times New Roman" w:hAnsi="Times New Roman"/>
        </w:rPr>
        <w:t xml:space="preserve">In the current study, we address this question by comparing the “laboratory isolate” </w:t>
      </w:r>
      <w:r>
        <w:rPr>
          <w:rFonts w:ascii="Times New Roman" w:hAnsi="Times New Roman"/>
          <w:i/>
          <w:iCs/>
        </w:rPr>
        <w:t>E. falciformis</w:t>
      </w:r>
      <w:r>
        <w:rPr>
          <w:rFonts w:ascii="Times New Roman" w:hAnsi="Times New Roman"/>
        </w:rPr>
        <w:t xml:space="preserve"> BayerHaberkorn1970 with a novel, wild derived isolate </w:t>
      </w:r>
      <w:r>
        <w:rPr>
          <w:rFonts w:ascii="Times New Roman" w:hAnsi="Times New Roman"/>
          <w:i/>
          <w:iCs/>
        </w:rPr>
        <w:t>E. falciformis</w:t>
      </w:r>
      <w:r>
        <w:rPr>
          <w:rFonts w:ascii="Times New Roman" w:hAnsi="Times New Roman"/>
        </w:rPr>
        <w:t xml:space="preserve"> Brandenburg88, and contrast this with another novel wild derived isolate, </w:t>
      </w:r>
      <w:r>
        <w:rPr>
          <w:rFonts w:ascii="Times New Roman" w:hAnsi="Times New Roman"/>
          <w:i/>
          <w:iCs/>
        </w:rPr>
        <w:t>E. ferrisi</w:t>
      </w:r>
      <w:r>
        <w:rPr>
          <w:rFonts w:ascii="Times New Roman" w:hAnsi="Times New Roman"/>
        </w:rPr>
        <w:t xml:space="preserve"> Brandenburg64. We compare parasite lifecycle progression. We relate this to immune cell infiltration at the site of infection (in the caecum) and cytokine gene expression in the spleen as a measure of host immune response. In addition we measure host weight loss as a measure of pathogenicity. </w:t>
      </w:r>
    </w:p>
    <w:p>
      <w:pPr>
        <w:pStyle w:val="TextBody"/>
        <w:spacing w:lineRule="auto" w:line="360"/>
        <w:jc w:val="both"/>
        <w:rPr/>
      </w:pPr>
      <w:r>
        <w:rPr>
          <w:rFonts w:ascii="Times New Roman" w:hAnsi="Times New Roman"/>
        </w:rPr>
        <w:t xml:space="preserve">A species-specific slower parasite lifecyle progression and higher pathogenicity are observed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 xml:space="preserve">E. ferrisi. </w:t>
      </w:r>
      <w:r>
        <w:rPr>
          <w:rFonts w:ascii="Times New Roman" w:hAnsi="Times New Roman"/>
          <w:i w:val="false"/>
          <w:iCs w:val="false"/>
        </w:rPr>
        <w:t>Host cy</w:t>
      </w:r>
      <w:r>
        <w:rPr>
          <w:rFonts w:ascii="Times New Roman" w:hAnsi="Times New Roman"/>
        </w:rPr>
        <w:t xml:space="preserve">tokines, in contrast, are expressed at significantly higher level in the spleen of mice infected with the </w:t>
      </w:r>
      <w:r>
        <w:rPr>
          <w:rFonts w:ascii="Times New Roman" w:hAnsi="Times New Roman"/>
          <w:i/>
          <w:iCs/>
        </w:rPr>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BayerHaberkorn1970 laboratory isolate induces the strongest inflammation and cellular infiltration (with lymphocytes, plasma cells and eosinophilic granulocytes) followed by the wild derived </w:t>
      </w:r>
      <w:r>
        <w:rPr>
          <w:rFonts w:ascii="Times New Roman" w:hAnsi="Times New Roman"/>
          <w:i/>
          <w:iCs/>
        </w:rPr>
        <w:t>E. falciformis</w:t>
      </w:r>
      <w:r>
        <w:rPr>
          <w:rFonts w:ascii="Times New Roman" w:hAnsi="Times New Roman"/>
          <w:i w:val="false"/>
          <w:iCs w:val="false"/>
        </w:rPr>
        <w:t xml:space="preserve"> Brandenburg88 </w:t>
      </w:r>
      <w:r>
        <w:rPr>
          <w:rFonts w:ascii="Times New Roman" w:hAnsi="Times New Roman"/>
        </w:rPr>
        <w:t xml:space="preserve">isolate. </w:t>
      </w:r>
      <w:bookmarkStart w:id="1" w:name="move44964471"/>
      <w:bookmarkEnd w:id="1"/>
      <w:r>
        <w:rPr>
          <w:rFonts w:ascii="Times New Roman" w:hAnsi="Times New Roman"/>
          <w:i/>
          <w:iCs/>
        </w:rPr>
        <w:t>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rendering this isolate more virulent in NMRI mice. More generally, our results show that caution is needed when findings from experimental infection with laboratory strains should be integrated with observations in natural systems. </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rFonts w:ascii="Times New Roman" w:hAnsi="Times New Roman"/>
          <w:i/>
          <w:i/>
          <w:iCs/>
        </w:rPr>
      </w:pPr>
      <w:r>
        <w:rPr>
          <w:rFonts w:ascii="Times New Roman" w:hAnsi="Times New Roman"/>
          <w:i w:val="false"/>
          <w:iCs w:val="false"/>
        </w:rPr>
        <w:t>Keywords:</w:t>
      </w:r>
      <w:r>
        <w:rPr>
          <w:rFonts w:ascii="Times New Roman" w:hAnsi="Times New Roman"/>
          <w:i/>
          <w:iCs/>
        </w:rPr>
        <w:t xml:space="preserve"> </w:t>
      </w:r>
      <w:r>
        <w:rPr>
          <w:rFonts w:ascii="Times New Roman" w:hAnsi="Times New Roman"/>
          <w:i w:val="false"/>
          <w:iCs w:val="false"/>
        </w:rPr>
        <w:t xml:space="preserve">wild-derived strains; laboratory evolution; house mouse; rodent </w:t>
      </w:r>
      <w:r>
        <w:rPr>
          <w:rFonts w:ascii="Times New Roman" w:hAnsi="Times New Roman"/>
          <w:i/>
          <w:iCs/>
        </w:rPr>
        <w:t>Eimeria</w:t>
      </w:r>
      <w:r>
        <w:rPr>
          <w:rFonts w:ascii="Times New Roman" w:hAnsi="Times New Roman"/>
          <w:i w:val="false"/>
          <w:iCs w:val="false"/>
        </w:rPr>
        <w:t>; cytokine expression; immune cell infiltration.</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Maintenance of parasite lifecycles via serial passaging is a cornerstone of experimental parasitology. Parasites are propagated under defined and controlled conditions with the aim to provide infective stages for experiments (Lucius et al, 2017</w:t>
      </w:r>
      <w:bookmarkStart w:id="2" w:name="__UnoMark__10591_2905672918"/>
      <w:bookmarkEnd w:id="2"/>
      <w:r>
        <w:rPr>
          <w:rFonts w:ascii="Times New Roman" w:hAnsi="Times New Roman"/>
        </w:rPr>
        <w:t>). The procedure allows the parasite to evolve due to mutation and genetic drift or adaptation to the passaging host and environment (</w:t>
      </w:r>
      <w:r>
        <w:rPr>
          <w:rFonts w:ascii="Times New Roman" w:hAnsi="Times New Roman"/>
          <w:color w:val="000000"/>
        </w:rPr>
        <w:t xml:space="preserve">Ebert, 1998; </w:t>
      </w:r>
      <w:r>
        <w:rPr>
          <w:rFonts w:ascii="Times New Roman" w:hAnsi="Times New Roman"/>
        </w:rPr>
        <w:t>Burke, 2012</w:t>
      </w:r>
      <w:bookmarkStart w:id="3" w:name="__UnoMark__10590_2905672918"/>
      <w:bookmarkEnd w:id="3"/>
      <w:r>
        <w:rPr>
          <w:rFonts w:ascii="Times New Roman" w:hAnsi="Times New Roman"/>
        </w:rPr>
        <w:t>). Genetic drift is promoted by the use of small inocula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(outer environment) during passaging differs profoundly from the environment experienced by the parasite during its life cycle under natural conditions. To summarize, parasite laboratory isolates might experience both neutral and adaptive evolutionary processes. As a consequence they might not be representative for analogues in natural systems</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4" w:name="__UnoMark__10589_2905672918"/>
      <w:r>
        <w:rPr>
          <w:rFonts w:ascii="Times New Roman" w:hAnsi="Times New Roman"/>
          <w:color w:val="000000"/>
        </w:rPr>
        <w:t>Ebert, 1998</w:t>
      </w:r>
      <w:bookmarkEnd w:id="4"/>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Emphasis"/>
          <w:rFonts w:ascii="Times New Roman" w:hAnsi="Times New Roman"/>
          <w:i w:val="false"/>
          <w:iCs w:val="false"/>
          <w:color w:val="000000"/>
        </w:rPr>
        <w:t xml:space="preserve">apicomplexan parasites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 ‎2004; Barclay et al, 2014). Adaptation to the passage host in these studies increases 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respond quickly to selection pressure. In contrast – to our knowledge – no studies attempt to correlate enhanced virulence after serial passaging of </w:t>
      </w:r>
      <w:r>
        <w:rPr>
          <w:rStyle w:val="Emphasis"/>
          <w:rFonts w:ascii="Times New Roman" w:hAnsi="Times New Roman"/>
          <w:color w:val="000000"/>
        </w:rPr>
        <w:t>Eimeria</w:t>
      </w:r>
      <w:r>
        <w:rPr>
          <w:rStyle w:val="Emphasis"/>
          <w:rFonts w:ascii="Times New Roman" w:hAnsi="Times New Roman"/>
          <w:i w:val="false"/>
          <w:iCs w:val="false"/>
          <w:color w:val="000000"/>
        </w:rPr>
        <w:t xml:space="preserve">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usually have a small host range, often infecting a single host species </w:t>
      </w:r>
      <w:bookmarkStart w:id="5" w:name="__UnoMark__10584_2905672918"/>
      <w:r>
        <w:rPr>
          <w:rFonts w:ascii="Times New Roman" w:hAnsi="Times New Roman"/>
          <w:color w:val="000000"/>
        </w:rPr>
        <w:t>(Hashimoto et al, 2014; Hnida and Duszynski, 1999; Kvičerová and Hypša, 2013; Vrba and Pakandl, 2015)</w:t>
      </w:r>
      <w:bookmarkEnd w:id="5"/>
      <w:r>
        <w:rPr>
          <w:rFonts w:ascii="Times New Roman" w:hAnsi="Times New Roman"/>
          <w:color w:val="000000"/>
        </w:rPr>
        <w:t xml:space="preserve"> and reside at specific sites within the intestines of their hosts </w:t>
      </w:r>
      <w:bookmarkStart w:id="6" w:name="__UnoMark__10583_2905672918"/>
      <w:r>
        <w:rPr>
          <w:rFonts w:ascii="Times New Roman" w:hAnsi="Times New Roman"/>
          <w:color w:val="000000"/>
        </w:rPr>
        <w:t>(Chapman et al, 2013; Haberkorn, 1970; Owen, 1975)</w:t>
      </w:r>
      <w:bookmarkEnd w:id="6"/>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7" w:name="__UnoMark__10582_2905672918"/>
      <w:r>
        <w:rPr>
          <w:rFonts w:ascii="Times New Roman" w:hAnsi="Times New Roman"/>
          <w:color w:val="000000"/>
        </w:rPr>
        <w:t>(Cacho et al, 2012; Canning and Anwar, 1968</w:t>
      </w:r>
      <w:bookmarkEnd w:id="7"/>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many vertebrates from mammals to fish (Molnár et al., 2012).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8" w:name="__UnoMark__10560_2905672918"/>
      <w:r>
        <w:rPr>
          <w:rStyle w:val="Emphasis"/>
          <w:rFonts w:ascii="Times New Roman" w:hAnsi="Times New Roman"/>
          <w:i w:val="false"/>
          <w:iCs w:val="false"/>
          <w:color w:val="000000"/>
        </w:rPr>
        <w:t>(Chapman et al, 2013; Haberkorn, 1970)</w:t>
      </w:r>
      <w:bookmarkEnd w:id="8"/>
      <w:r>
        <w:rPr>
          <w:rStyle w:val="Emphasis"/>
          <w:rFonts w:ascii="Times New Roman" w:hAnsi="Times New Roman"/>
          <w:i w:val="false"/>
          <w:iCs w:val="false"/>
          <w:color w:val="222222"/>
        </w:rPr>
        <w:t>.</w:t>
      </w:r>
      <w:r>
        <w:rPr>
          <w:rFonts w:ascii="Times New Roman" w:hAnsi="Times New Roman"/>
        </w:rPr>
        <w:t xml:space="preserve"> As this has an economic </w:t>
      </w:r>
      <w:r>
        <w:rPr>
          <w:rStyle w:val="Emphasis"/>
          <w:rFonts w:ascii="Times New Roman" w:hAnsi="Times New Roman"/>
          <w:i w:val="false"/>
          <w:iCs w:val="false"/>
          <w:color w:val="000000"/>
        </w:rPr>
        <w:t>impact</w:t>
      </w:r>
      <w:r>
        <w:rPr>
          <w:rFonts w:ascii="Times New Roman" w:hAnsi="Times New Roman"/>
        </w:rPr>
        <w:t xml:space="preserve"> in livestock, coccidiosis is an important focus in veterinary research </w:t>
      </w:r>
      <w:bookmarkStart w:id="9"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9"/>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10" w:name="__UnoMark__10580_2905672918"/>
      <w:r>
        <w:rPr>
          <w:rFonts w:ascii="Times New Roman" w:hAnsi="Times New Roman"/>
        </w:rPr>
        <w:t>(Heitlinger et al, 2014; Schmid et al, 2014)</w:t>
      </w:r>
      <w:bookmarkEnd w:id="10"/>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BayerHaberkorn1970 has been isolated in 1960 (Haberkorn 1970) and since has been propagated in laboratories (first at Bayer animal health, Monheim, Germany; then at the institute for molecular parasitology of the Humboldt University, Berlin, Germany).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rPr>
        <w:t xml:space="preserve"> (Ehret et al, 2017; </w:t>
      </w:r>
      <w:r>
        <w:rPr>
          <w:rStyle w:val="Emphasis"/>
          <w:rFonts w:ascii="Times New Roman" w:hAnsi="Times New Roman"/>
          <w:bCs/>
          <w:i w:val="false"/>
          <w:iCs w:val="false"/>
          <w:color w:val="000000"/>
        </w:rPr>
        <w:t xml:space="preserve">Mahrt and Shi 1988; </w:t>
      </w:r>
      <w:r>
        <w:rPr>
          <w:rFonts w:ascii="Times New Roman" w:hAnsi="Times New Roman"/>
        </w:rPr>
        <w:t xml:space="preserve">Pogonka et al, 2010; </w:t>
      </w:r>
      <w:r>
        <w:rPr>
          <w:rStyle w:val="Emphasis"/>
          <w:rFonts w:ascii="Times New Roman" w:hAnsi="Times New Roman"/>
          <w:bCs/>
          <w:i w:val="false"/>
          <w:iCs w:val="false"/>
          <w:color w:val="000000"/>
        </w:rPr>
        <w:t xml:space="preserve">Schito et al, 1996; </w:t>
      </w:r>
      <w:r>
        <w:rPr>
          <w:rFonts w:ascii="Times New Roman" w:hAnsi="Times New Roman"/>
        </w:rPr>
        <w:t>Schmid et al, 2014, 2012; Stange et al, 2012; Steinfelder et al, 200</w:t>
      </w:r>
      <w:bookmarkStart w:id="11" w:name="__UnoMark__10578_2905672918"/>
      <w:bookmarkEnd w:id="11"/>
      <w:r>
        <w:rPr>
          <w:rFonts w:ascii="Times New Roman" w:hAnsi="Times New Roman"/>
        </w:rPr>
        <w:t xml:space="preserve">5). </w:t>
      </w:r>
    </w:p>
    <w:p>
      <w:pPr>
        <w:pStyle w:val="Normal"/>
        <w:spacing w:lineRule="auto" w:line="360"/>
        <w:jc w:val="both"/>
        <w:rPr/>
      </w:pPr>
      <w:r>
        <w:rPr>
          <w:rFonts w:ascii="Times New Roman" w:hAnsi="Times New Roman"/>
        </w:rPr>
        <w:t xml:space="preserve">In the present study we compared infection of mice (NMRI) with the laboratory isolate </w:t>
      </w:r>
      <w:r>
        <w:rPr>
          <w:rFonts w:ascii="Times New Roman" w:hAnsi="Times New Roman"/>
          <w:i/>
          <w:iCs/>
        </w:rPr>
        <w:t xml:space="preserve">E. falciformis </w:t>
      </w:r>
      <w:r>
        <w:rPr>
          <w:rFonts w:ascii="Times New Roman" w:hAnsi="Times New Roman"/>
          <w:i w:val="false"/>
          <w:iCs w:val="false"/>
        </w:rPr>
        <w:t>BayerHaberkorn1970</w:t>
      </w:r>
      <w:r>
        <w:rPr>
          <w:rFonts w:ascii="Times New Roman" w:hAnsi="Times New Roman"/>
          <w:iCs/>
        </w:rPr>
        <w:t>,</w:t>
      </w:r>
      <w:r>
        <w:rPr>
          <w:rFonts w:ascii="Times New Roman" w:hAnsi="Times New Roman"/>
        </w:rPr>
        <w:t xml:space="preserve"> to infections with wild derived isolates of </w:t>
      </w:r>
      <w:r>
        <w:rPr>
          <w:rFonts w:ascii="Times New Roman" w:hAnsi="Times New Roman"/>
          <w:i/>
          <w:iCs/>
        </w:rPr>
        <w:t>E. falciformis</w:t>
      </w:r>
      <w:r>
        <w:rPr>
          <w:rFonts w:ascii="Times New Roman" w:hAnsi="Times New Roman"/>
        </w:rPr>
        <w:t xml:space="preserve"> (novel isolate Brandenburg88) and </w:t>
      </w:r>
      <w:r>
        <w:rPr>
          <w:rFonts w:ascii="Times New Roman" w:hAnsi="Times New Roman"/>
          <w:i/>
          <w:iCs/>
        </w:rPr>
        <w:t>E. ferrisi</w:t>
      </w:r>
      <w:r>
        <w:rPr>
          <w:rFonts w:ascii="Times New Roman" w:hAnsi="Times New Roman"/>
        </w:rPr>
        <w:t xml:space="preserve"> (Levine and Evens, 1965) (novel isolate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the three different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rFonts w:ascii="Times New Roman" w:hAnsi="Times New Roman"/>
          <w:color w:val="000000"/>
        </w:rPr>
      </w:pPr>
      <w:r>
        <w:rPr>
          <w:rFonts w:ascii="Times New Roman" w:hAnsi="Times New Roman"/>
          <w:color w:val="000000"/>
        </w:rPr>
      </w:r>
    </w:p>
    <w:p>
      <w:pPr>
        <w:pStyle w:val="Heading2"/>
        <w:spacing w:lineRule="auto" w:line="360"/>
        <w:jc w:val="both"/>
        <w:rPr/>
      </w:pPr>
      <w:r>
        <w:rPr>
          <w:rFonts w:ascii="Times New Roman" w:hAnsi="Times New Roman"/>
          <w:sz w:val="26"/>
          <w:szCs w:val="26"/>
        </w:rPr>
        <w:t xml:space="preserve">RESULTS </w:t>
      </w:r>
    </w:p>
    <w:p>
      <w:pPr>
        <w:pStyle w:val="Heading3"/>
        <w:spacing w:lineRule="auto" w:line="360"/>
        <w:jc w:val="both"/>
        <w:rPr/>
      </w:pPr>
      <w:r>
        <w:rPr>
          <w:rFonts w:ascii="Times New Roman" w:hAnsi="Times New Roman"/>
          <w:color w:val="000000"/>
          <w:sz w:val="26"/>
          <w:szCs w:val="26"/>
        </w:rPr>
        <w:t xml:space="preserve">Dynamics of infection and host body weight loss differ between </w:t>
      </w:r>
      <w:r>
        <w:rPr>
          <w:rFonts w:ascii="Times New Roman" w:hAnsi="Times New Roman"/>
          <w:i/>
          <w:color w:val="000000"/>
          <w:sz w:val="26"/>
          <w:szCs w:val="26"/>
        </w:rPr>
        <w:t>Eimeria</w:t>
      </w:r>
      <w:r>
        <w:rPr>
          <w:rFonts w:ascii="Times New Roman" w:hAnsi="Times New Roman"/>
          <w:color w:val="000000"/>
          <w:sz w:val="26"/>
          <w:szCs w:val="26"/>
        </w:rPr>
        <w:t xml:space="preserve"> species</w:t>
      </w:r>
    </w:p>
    <w:p>
      <w:pPr>
        <w:pStyle w:val="TextBody"/>
        <w:spacing w:lineRule="auto" w:line="360"/>
        <w:jc w:val="both"/>
        <w:rPr/>
      </w:pPr>
      <w:r>
        <w:rPr>
          <w:rFonts w:ascii="Times New Roman" w:hAnsi="Times New Roman"/>
          <w:color w:val="000000"/>
        </w:rPr>
        <w:t xml:space="preserve">Genotyping showed that two novel isolates which we obtained from individual house mice captured in the federal state of Brandenburg (Germany) belong to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We compared fragments of DNA sequences of the mitochondrial Cytochrom C oxidase subunit I (COI), the nuclear small ribosomal subunit (18S) and the open reading frame 470 (ORF470) of the apicoplast genome. For all makers the Brandenburg88 and Brandenburg64 </w:t>
      </w:r>
      <w:r>
        <w:rPr>
          <w:rFonts w:ascii="Times New Roman" w:hAnsi="Times New Roman"/>
          <w:highlight w:val="white"/>
        </w:rPr>
        <w:t xml:space="preserve">isolate showed 99-100% sequence identity to available sequences from </w:t>
      </w:r>
      <w:r>
        <w:rPr>
          <w:rFonts w:ascii="Times New Roman" w:hAnsi="Times New Roman"/>
          <w:i/>
          <w:iCs/>
          <w:highlight w:val="white"/>
        </w:rPr>
        <w:t xml:space="preserve">E. falciformis </w:t>
      </w:r>
      <w:r>
        <w:rPr>
          <w:rFonts w:ascii="Times New Roman" w:hAnsi="Times New Roman"/>
          <w:highlight w:val="white"/>
        </w:rPr>
        <w:t xml:space="preserve">and </w:t>
      </w:r>
      <w:r>
        <w:rPr>
          <w:rFonts w:ascii="Times New Roman" w:hAnsi="Times New Roman"/>
          <w:i/>
          <w:iCs/>
          <w:highlight w:val="white"/>
        </w:rPr>
        <w:t>E. ferrisi</w:t>
      </w:r>
      <w:r>
        <w:rPr>
          <w:rFonts w:ascii="Times New Roman" w:hAnsi="Times New Roman"/>
          <w:highlight w:val="white"/>
        </w:rPr>
        <w:t>, respectively (</w:t>
      </w:r>
      <w:r>
        <w:rPr>
          <w:rFonts w:ascii="Times New Roman" w:hAnsi="Times New Roman"/>
          <w:bCs/>
          <w:highlight w:val="white"/>
          <w:lang w:val="de-DE"/>
        </w:rPr>
        <w:t>Jarquín-Diaz</w:t>
      </w:r>
      <w:r>
        <w:rPr>
          <w:rFonts w:ascii="Times New Roman" w:hAnsi="Times New Roman"/>
          <w:highlight w:val="white"/>
        </w:rPr>
        <w:t xml:space="preserve"> et al. in preparation). We named the novel isolates </w:t>
      </w:r>
      <w:r>
        <w:rPr>
          <w:rFonts w:ascii="Times New Roman" w:hAnsi="Times New Roman"/>
          <w:i/>
          <w:iCs/>
          <w:highlight w:val="white"/>
        </w:rPr>
        <w:t>E. falciformis</w:t>
      </w:r>
      <w:r>
        <w:rPr>
          <w:rFonts w:ascii="Times New Roman" w:hAnsi="Times New Roman"/>
          <w:highlight w:val="white"/>
        </w:rPr>
        <w:t xml:space="preserve"> Brandenburg88 and </w:t>
      </w:r>
      <w:r>
        <w:rPr>
          <w:rFonts w:ascii="Times New Roman" w:hAnsi="Times New Roman"/>
          <w:i/>
          <w:iCs/>
          <w:highlight w:val="white"/>
        </w:rPr>
        <w:t>E. ferrisi</w:t>
      </w:r>
      <w:r>
        <w:rPr>
          <w:rFonts w:ascii="Times New Roman" w:hAnsi="Times New Roman"/>
          <w:highlight w:val="white"/>
        </w:rPr>
        <w:t xml:space="preserve"> Brandenburg64 after the area (Brandenburg) from which they were isolated and a running number for mice used in our sampling (mouse no. 64 and 88).</w:t>
      </w:r>
    </w:p>
    <w:p>
      <w:pPr>
        <w:pStyle w:val="TextBody"/>
        <w:spacing w:lineRule="auto" w:line="360"/>
        <w:jc w:val="both"/>
        <w:rPr/>
      </w:pPr>
      <w:r>
        <w:rPr>
          <w:rFonts w:ascii="Times New Roman" w:hAnsi="Times New Roman"/>
        </w:rPr>
        <w:t xml:space="preserve">We infected NMRI mice with these novel </w:t>
      </w:r>
      <w:r>
        <w:rPr>
          <w:rFonts w:ascii="Times New Roman" w:hAnsi="Times New Roman"/>
          <w:i/>
          <w:iCs/>
        </w:rPr>
        <w:t>Eimeria</w:t>
      </w:r>
      <w:r>
        <w:rPr>
          <w:rFonts w:ascii="Times New Roman" w:hAnsi="Times New Roman"/>
        </w:rPr>
        <w:t xml:space="preserve"> isolates as well as with the laboratory isolate </w:t>
      </w:r>
      <w:r>
        <w:rPr>
          <w:rFonts w:ascii="Times New Roman" w:hAnsi="Times New Roman"/>
          <w:i/>
          <w:iCs/>
        </w:rPr>
        <w:t>E. falciformis</w:t>
      </w:r>
      <w:r>
        <w:rPr>
          <w:rFonts w:ascii="Times New Roman" w:hAnsi="Times New Roman"/>
        </w:rPr>
        <w:t xml:space="preserve"> BayerHaberkorn1970 and followed the progression of infection by measuring parasite reproduction and host body </w:t>
      </w:r>
      <w:bookmarkStart w:id="12" w:name="__DdeLink__1636_3010982077"/>
      <w:r>
        <w:rPr>
          <w:rFonts w:ascii="Times New Roman" w:hAnsi="Times New Roman"/>
        </w:rPr>
        <w:t>weight</w:t>
      </w:r>
      <w:bookmarkEnd w:id="12"/>
      <w:r>
        <w:rPr>
          <w:rFonts w:ascii="Times New Roman" w:hAnsi="Times New Roman"/>
        </w:rPr>
        <w:t xml:space="preserve"> loss. We assessed parasite repr</w:t>
      </w:r>
      <w:r>
        <w:rPr>
          <w:rFonts w:ascii="Times New Roman" w:hAnsi="Times New Roman"/>
          <w:color w:val="000000"/>
          <w:highlight w:val="white"/>
        </w:rPr>
        <w:t>oduction via oocyst shedding from two to eleven days post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its peak intensity at 6 dpi, was drastically reduced at 7 dpi (n = 12, U = 2.91, p = 0.002), and fell below detection levels at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and at 9 dpi for the novel isolate Brandenburg88. The oocyst numbers declined after this peak in both isolates, but shedding was still detectable at 11 dpi when we sacrificed the last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iCs/>
          <w:highlight w:val="white"/>
        </w:rPr>
        <w:t>vs. E. falciformis</w:t>
      </w:r>
      <w:r>
        <w:rPr>
          <w:rFonts w:ascii="Times New Roman" w:hAnsi="Times New Roman"/>
          <w:highlight w:val="white"/>
        </w:rPr>
        <w:t xml:space="preserve"> Brandenburg88, n = 12, U = 0.32, p= 0.777;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 xml:space="preserve">E. falciformis </w:t>
      </w:r>
      <w:r>
        <w:rPr>
          <w:rFonts w:ascii="Times New Roman" w:hAnsi="Times New Roman"/>
          <w:highlight w:val="white"/>
        </w:rPr>
        <w:t xml:space="preserve">BayerHaberkorn1970, n = 12, U = 0.96, p= 0.37). </w:t>
      </w:r>
    </w:p>
    <w:p>
      <w:pPr>
        <w:pStyle w:val="Normal"/>
        <w:spacing w:lineRule="auto" w:line="360"/>
        <w:jc w:val="both"/>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(both dpi, n = 12, U = -2.89, p = 0.002) and </w:t>
      </w:r>
      <w:r>
        <w:rPr>
          <w:rFonts w:ascii="Times New Roman" w:hAnsi="Times New Roman"/>
          <w:i/>
          <w:iCs/>
        </w:rPr>
        <w:t>E. falciformis</w:t>
      </w:r>
      <w:r>
        <w:rPr>
          <w:rFonts w:ascii="Times New Roman" w:hAnsi="Times New Roman"/>
        </w:rPr>
        <w:t xml:space="preserve"> Brandenburg88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Brandenburg88, n = 15, U = -2.0, p = 0.049;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BayerHaberkorn1970, n = 15, U = -2.59, p = 0.007). </w:t>
      </w:r>
    </w:p>
    <w:p>
      <w:pPr>
        <w:pStyle w:val="Normal"/>
        <w:spacing w:lineRule="auto" w:line="360"/>
        <w:jc w:val="both"/>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In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posOffset>337820</wp:posOffset>
            </wp:positionH>
            <wp:positionV relativeFrom="paragraph">
              <wp:posOffset>55880</wp:posOffset>
            </wp:positionV>
            <wp:extent cx="5657215" cy="5390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657215" cy="5390515"/>
                    </a:xfrm>
                    <a:prstGeom prst="rect">
                      <a:avLst/>
                    </a:prstGeom>
                  </pic:spPr>
                </pic:pic>
              </a:graphicData>
            </a:graphic>
          </wp:anchor>
        </w:drawing>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drawing>
          <wp:anchor behindDoc="0" distT="0" distB="0" distL="0" distR="0" simplePos="0" locked="0" layoutInCell="1" allowOverlap="1" relativeHeight="3">
            <wp:simplePos x="0" y="0"/>
            <wp:positionH relativeFrom="column">
              <wp:posOffset>296545</wp:posOffset>
            </wp:positionH>
            <wp:positionV relativeFrom="paragraph">
              <wp:posOffset>5165090</wp:posOffset>
            </wp:positionV>
            <wp:extent cx="5485765" cy="548576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7"/>
                    <a:stretch>
                      <a:fillRect/>
                    </a:stretch>
                  </pic:blipFill>
                  <pic:spPr bwMode="auto">
                    <a:xfrm>
                      <a:off x="0" y="0"/>
                      <a:ext cx="5485765" cy="5485765"/>
                    </a:xfrm>
                    <a:prstGeom prst="rect">
                      <a:avLst/>
                    </a:prstGeom>
                  </pic:spPr>
                </pic:pic>
              </a:graphicData>
            </a:graphic>
          </wp:anchor>
        </w:drawing>
      </w:r>
      <w:r>
        <w:rPr>
          <w:rFonts w:ascii="Times New Roman" w:hAnsi="Times New Roman"/>
          <w:b/>
          <w:bCs/>
          <w:color w:val="000000"/>
        </w:rPr>
        <w:t>F</w:t>
      </w:r>
      <w:r>
        <w:rPr>
          <w:rFonts w:ascii="Times New Roman" w:hAnsi="Times New Roman"/>
          <w:b/>
          <w:bCs/>
          <w:color w:val="000000"/>
        </w:rPr>
        <w:t>igure 1 – Parasite life cycle progression and pathogenicity assessed as host weight loss during the infection -</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color w:val="000000"/>
        </w:rPr>
        <w:t xml:space="preserve"> Brandenburg64 (a recently derived isolate; EferW), </w:t>
      </w:r>
      <w:r>
        <w:rPr>
          <w:rFonts w:ascii="Times New Roman" w:hAnsi="Times New Roman"/>
          <w:i/>
          <w:iCs/>
          <w:color w:val="000000"/>
        </w:rPr>
        <w:t xml:space="preserve">E. falciformis </w:t>
      </w:r>
      <w:r>
        <w:rPr>
          <w:rFonts w:ascii="Times New Roman" w:hAnsi="Times New Roman"/>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Host body weight loss of the same three groups of mice is depicted as percentage of </w:t>
      </w:r>
      <w:r>
        <w:rPr>
          <w:rFonts w:ascii="Times New Roman" w:hAnsi="Times New Roman"/>
          <w:color w:val="000000"/>
          <w:highlight w:val="white"/>
        </w:rPr>
        <w:t xml:space="preserve">body weight retained compared to 1 dpi. The number of mice per group is given at the bottom of the plot. The number is gradually reduced towards the end of the experiment, because mice were sacrificed for collection of tissue samples. Lines indicate the mean for each group, error bars give the standard deviation. </w:t>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w:t>
      </w:r>
      <w:r>
        <w:rPr>
          <w:rStyle w:val="Emphasis"/>
          <w:rFonts w:ascii="Times New Roman" w:hAnsi="Times New Roman"/>
          <w:b/>
          <w:bCs/>
          <w:i w:val="false"/>
          <w:iCs w:val="false"/>
          <w:color w:val="000000"/>
          <w:highlight w:val="white"/>
        </w:rPr>
        <w:t xml:space="preserve">– Relative timing of host weight loss and parasite reproduction differ between the species </w:t>
      </w:r>
      <w:r>
        <w:rPr>
          <w:rStyle w:val="Emphasis"/>
          <w:rFonts w:ascii="Times New Roman" w:hAnsi="Times New Roman"/>
          <w:b/>
          <w:bCs/>
          <w:color w:val="000000"/>
          <w:highlight w:val="white"/>
        </w:rPr>
        <w:t>E. falciformis</w:t>
      </w:r>
      <w:r>
        <w:rPr>
          <w:rStyle w:val="Emphasis"/>
          <w:rFonts w:ascii="Times New Roman" w:hAnsi="Times New Roman"/>
          <w:b/>
          <w:bCs/>
          <w:i w:val="false"/>
          <w:iCs w:val="false"/>
          <w:color w:val="000000"/>
          <w:highlight w:val="white"/>
        </w:rPr>
        <w:t xml:space="preserve"> and </w:t>
      </w:r>
      <w:r>
        <w:rPr>
          <w:rStyle w:val="Emphasis"/>
          <w:rFonts w:ascii="Times New Roman" w:hAnsi="Times New Roman"/>
          <w:b/>
          <w:bCs/>
          <w:color w:val="000000"/>
          <w:highlight w:val="white"/>
        </w:rPr>
        <w:t>E. ferrisi</w:t>
      </w:r>
      <w:r>
        <w:rPr>
          <w:rStyle w:val="Emphasis"/>
          <w:rFonts w:ascii="Times New Roman" w:hAnsi="Times New Roman"/>
          <w:b/>
          <w:bCs/>
          <w:i w:val="false"/>
          <w:iCs w:val="false"/>
          <w:color w:val="000000"/>
          <w:highlight w:val="white"/>
        </w:rPr>
        <w:t xml:space="preserve"> for individual hosts </w:t>
      </w:r>
      <w:r>
        <w:rPr>
          <w:rStyle w:val="Emphasis"/>
          <w:rFonts w:ascii="Times New Roman" w:hAnsi="Times New Roman"/>
          <w:i w:val="false"/>
          <w:iCs w:val="false"/>
          <w:color w:val="000000"/>
          <w:highlight w:val="white"/>
        </w:rPr>
        <w:t xml:space="preserve">- The peak of the host’s weight loss follows after the peak of oocyst shedding in infections with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ferrisi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hosts lost most weight before most parasite oocysts were shed. Points depict the peak day of both oocyst shedding and weight loss, respectively, red lines connect both measurement from the same mouse. All mice sacrificed at 9dpi or later are assessed. For underlying experimental procedures see Figure 1 and the Methods section. In case of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infections the day of maximal weight loss could have been potentially even later if some mice (n = 3 for each isolate) were not sacrificed at 9 dpi.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refer to it as host-parasite ∆Ct</w:t>
      </w:r>
      <w:r>
        <w:rPr>
          <w:rFonts w:ascii="Times New Roman" w:hAnsi="Times New Roman"/>
          <w:color w:val="000000"/>
          <w:highlight w:val="white"/>
        </w:rPr>
        <w:t xml:space="preserve"> (Figure 3). </w:t>
      </w:r>
      <w:r>
        <w:rPr>
          <w:rFonts w:ascii="Times New Roman" w:hAnsi="Times New Roman"/>
          <w:highlight w:val="white"/>
        </w:rPr>
        <w:t>The analysis of i</w:t>
      </w:r>
      <w:r>
        <w:rPr>
          <w:rFonts w:ascii="Times New Roman" w:hAnsi="Times New Roman"/>
        </w:rPr>
        <w:t>nfected (</w:t>
      </w:r>
      <w:bookmarkStart w:id="13"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xml:space="preserve"> Brandenburg88</w:t>
      </w:r>
      <w:r>
        <w:rPr>
          <w:rFonts w:ascii="Times New Roman" w:hAnsi="Times New Roman"/>
          <w:i/>
          <w:iCs/>
        </w:rPr>
        <w:t xml:space="preserve"> </w:t>
      </w:r>
      <w:r>
        <w:rPr>
          <w:rFonts w:ascii="Times New Roman" w:hAnsi="Times New Roman"/>
        </w:rPr>
        <w:t xml:space="preserve">n = 14; </w:t>
      </w:r>
      <w:r>
        <w:rPr>
          <w:rFonts w:ascii="Times New Roman" w:hAnsi="Times New Roman"/>
          <w:i/>
          <w:iCs/>
        </w:rPr>
        <w:t>E. falciformis</w:t>
      </w:r>
      <w:r>
        <w:rPr>
          <w:rFonts w:ascii="Times New Roman" w:hAnsi="Times New Roman"/>
        </w:rPr>
        <w:t xml:space="preserve"> BayerHaberkorn1970 n = 14</w:t>
      </w:r>
      <w:bookmarkEnd w:id="13"/>
      <w:r>
        <w:rPr>
          <w:rFonts w:ascii="Times New Roman" w:hAnsi="Times New Roman"/>
        </w:rPr>
        <w:t xml:space="preserve">) and control samples (n = 13) allows us to estimate a limit of detection (LOD; mean + 2 standard deviations of the negative controls) for the assay at a host-parasite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the highest value for an individual negative control sample at a host-parasite ∆Ct of -4.84. </w:t>
      </w:r>
      <w:r>
        <w:rPr>
          <w:rFonts w:ascii="Times New Roman" w:hAnsi="Times New Roman"/>
          <w:color w:val="000000"/>
        </w:rPr>
        <w:t xml:space="preserve">Maximum values for host-parasite ∆Ct (observed for the </w:t>
      </w:r>
      <w:r>
        <w:rPr>
          <w:rFonts w:ascii="Times New Roman" w:hAnsi="Times New Roman"/>
          <w:i/>
          <w:iCs/>
          <w:color w:val="000000"/>
        </w:rPr>
        <w:t>E. falciformis</w:t>
      </w:r>
      <w:r>
        <w:rPr>
          <w:rFonts w:ascii="Times New Roman" w:hAnsi="Times New Roman"/>
          <w:color w:val="000000"/>
        </w:rPr>
        <w:t xml:space="preserve"> BayerHaberkorn1970 isolate) were 7.74, indicating a ratio of 214 parasite COI mDNA copies for each copy of the mouse genome in crude caecum tissue at this point. </w:t>
      </w:r>
    </w:p>
    <w:p>
      <w:pPr>
        <w:pStyle w:val="TextBody"/>
        <w:shd w:val="clear" w:color="auto" w:fill="FFFFFF"/>
        <w:spacing w:lineRule="auto" w:line="360"/>
        <w:jc w:val="both"/>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host-parasite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falciformis</w:t>
      </w:r>
      <w:r>
        <w:rPr>
          <w:rFonts w:ascii="Times New Roman" w:hAnsi="Times New Roman"/>
          <w:color w:val="000000"/>
        </w:rPr>
        <w:t xml:space="preserve"> Brandenburg88 and for two out of three </w:t>
      </w:r>
      <w:r>
        <w:rPr>
          <w:rFonts w:ascii="Times New Roman" w:hAnsi="Times New Roman"/>
          <w:i/>
          <w:iCs/>
          <w:color w:val="000000"/>
        </w:rPr>
        <w:t>E. falciformis</w:t>
      </w:r>
      <w:r>
        <w:rPr>
          <w:rFonts w:ascii="Times New Roman" w:hAnsi="Times New Roman"/>
          <w:color w:val="000000"/>
        </w:rPr>
        <w:t xml:space="preserve"> BayerHaberkorn1970). For </w:t>
      </w:r>
      <w:r>
        <w:rPr>
          <w:rFonts w:ascii="Times New Roman" w:hAnsi="Times New Roman"/>
          <w:i/>
          <w:iCs/>
          <w:color w:val="000000"/>
        </w:rPr>
        <w:t>E. falciformis</w:t>
      </w:r>
      <w:r>
        <w:rPr>
          <w:rFonts w:ascii="Times New Roman" w:hAnsi="Times New Roman"/>
          <w:color w:val="000000"/>
        </w:rPr>
        <w:t xml:space="preserve"> (both isolates) host-parasite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sample, for which a value of 3.86 was measured).</w:t>
      </w:r>
    </w:p>
    <w:p>
      <w:pPr>
        <w:pStyle w:val="Normal"/>
        <w:shd w:val="clear" w:color="auto" w:fill="FFFFFF"/>
        <w:spacing w:lineRule="auto" w:line="360"/>
        <w:jc w:val="both"/>
        <w:rPr/>
      </w:pPr>
      <w:r>
        <w:rPr/>
      </w:r>
    </w:p>
    <w:p>
      <w:pPr>
        <w:pStyle w:val="Normal"/>
        <w:shd w:val="clear" w:color="auto" w:fill="FFFFFF"/>
        <w:spacing w:lineRule="auto" w:line="360"/>
        <w:jc w:val="both"/>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572000" cy="36576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572000" cy="3657600"/>
                    </a:xfrm>
                    <a:prstGeom prst="rect">
                      <a:avLst/>
                    </a:prstGeom>
                  </pic:spPr>
                </pic:pic>
              </a:graphicData>
            </a:graphic>
          </wp:anchor>
        </w:drawing>
      </w:r>
    </w:p>
    <w:p>
      <w:pPr>
        <w:pStyle w:val="TextBody"/>
        <w:spacing w:lineRule="auto" w:line="360"/>
        <w:jc w:val="both"/>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(host-parasite ∆Ct) estimates the intensity of parasite stages in caecum tissue.</w:t>
      </w:r>
      <w:r>
        <w:rPr>
          <w:rFonts w:ascii="Times New Roman" w:hAnsi="Times New Roman"/>
          <w:color w:val="000000"/>
        </w:rPr>
        <w:t xml:space="preserve"> </w:t>
      </w:r>
      <w:r>
        <w:rPr>
          <w:rFonts w:ascii="Times New Roman" w:hAnsi="Times New Roman"/>
          <w:color w:val="000000"/>
          <w:highlight w:val="white"/>
        </w:rPr>
        <w:t>The host-parasite ∆Ct was calculated from the difference in cycle of threshold (Ct) values of qPCRs performed on a single copy nuclear gene (Cdc42) of the host and on a mitochondrial (COI) gene of the parasite. A limit of detection (LOD) was calculated as the mean + 2 standard deviations of ∆Ct values of the negative controls. Coloured lines are drawn using local p</w:t>
      </w:r>
      <w:r>
        <w:rPr>
          <w:rFonts w:ascii="Times New Roman" w:hAnsi="Times New Roman"/>
          <w:color w:val="000000"/>
        </w:rPr>
        <w:t xml:space="preserve">olynomial regression fitting (a “loess smoother”).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pPr>
      <w:r>
        <w:rPr>
          <w:rFonts w:ascii="Times New Roman" w:hAnsi="Times New Roman"/>
          <w:color w:val="000000"/>
        </w:rPr>
        <w:t xml:space="preserve">To characterize potential differences in 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differ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1). Mice infected with </w:t>
      </w:r>
      <w:r>
        <w:rPr>
          <w:rFonts w:ascii="Times New Roman" w:hAnsi="Times New Roman"/>
          <w:i/>
          <w:iCs/>
          <w:color w:val="000000"/>
        </w:rPr>
        <w:t>E. falciformis</w:t>
      </w:r>
      <w:r>
        <w:rPr>
          <w:rFonts w:ascii="Times New Roman" w:hAnsi="Times New Roman"/>
          <w:color w:val="000000"/>
        </w:rPr>
        <w:t xml:space="preserve"> BayerHaberkorn1970 show significantly higher expression levels of </w:t>
      </w:r>
      <w:r>
        <w:rPr/>
        <w:t>ch</w:t>
      </w:r>
      <w:r>
        <w:rPr>
          <w:rFonts w:ascii="Times New Roman" w:hAnsi="Times New Roman"/>
          <w:color w:val="000000"/>
        </w:rPr>
        <w:t>emokine 9 (</w:t>
      </w:r>
      <w:r>
        <w:rPr>
          <w:rFonts w:ascii="Times New Roman" w:hAnsi="Times New Roman"/>
          <w:i/>
          <w:iCs/>
          <w:color w:val="000000"/>
        </w:rPr>
        <w:t>CxCl9</w:t>
      </w:r>
      <w:r>
        <w:rPr>
          <w:rFonts w:ascii="Times New Roman" w:hAnsi="Times New Roman"/>
          <w:color w:val="000000"/>
        </w:rPr>
        <w:t>), interleukins 10 and 12 (</w:t>
      </w:r>
      <w:r>
        <w:rPr>
          <w:rFonts w:ascii="Times New Roman" w:hAnsi="Times New Roman"/>
          <w:i/>
          <w:iCs/>
          <w:color w:val="000000"/>
        </w:rPr>
        <w:t>Il10</w:t>
      </w:r>
      <w:r>
        <w:rPr>
          <w:rFonts w:ascii="Times New Roman" w:hAnsi="Times New Roman"/>
          <w:color w:val="000000"/>
        </w:rPr>
        <w:t xml:space="preserve"> and </w:t>
      </w:r>
      <w:r>
        <w:rPr>
          <w:rFonts w:ascii="Times New Roman" w:hAnsi="Times New Roman"/>
          <w:i/>
          <w:iCs/>
          <w:color w:val="000000"/>
        </w:rPr>
        <w:t>Il12</w:t>
      </w:r>
      <w:r>
        <w:rPr>
          <w:rFonts w:ascii="Times New Roman" w:hAnsi="Times New Roman"/>
          <w:color w:val="000000"/>
        </w:rPr>
        <w:t>), tumour growth factor beta (</w:t>
      </w:r>
      <w:r>
        <w:rPr>
          <w:rFonts w:ascii="Times New Roman" w:hAnsi="Times New Roman"/>
          <w:i/>
          <w:iCs/>
          <w:color w:val="000000"/>
        </w:rPr>
        <w:t>Tgfβ</w:t>
      </w:r>
      <w:r>
        <w:rPr>
          <w:rFonts w:ascii="Times New Roman" w:hAnsi="Times New Roman"/>
          <w:color w:val="000000"/>
        </w:rPr>
        <w:t>), and signal transducer and activator of transcription 6 (</w:t>
      </w:r>
      <w:r>
        <w:rPr>
          <w:rFonts w:ascii="Times New Roman" w:hAnsi="Times New Roman"/>
          <w:i/>
          <w:iCs/>
          <w:color w:val="000000"/>
        </w:rPr>
        <w:t>Stat6</w:t>
      </w:r>
      <w:r>
        <w:rPr>
          <w:rFonts w:ascii="Times New Roman" w:hAnsi="Times New Roman"/>
          <w:color w:val="000000"/>
        </w:rPr>
        <w:t xml:space="preserve">). We did not detect significant expression differences between control and </w:t>
      </w:r>
      <w:r>
        <w:rPr>
          <w:rFonts w:ascii="Times New Roman" w:hAnsi="Times New Roman"/>
          <w:i/>
          <w:iCs/>
          <w:color w:val="000000"/>
        </w:rPr>
        <w:t>E. falciformis</w:t>
      </w:r>
      <w:r>
        <w:rPr>
          <w:rFonts w:ascii="Times New Roman" w:hAnsi="Times New Roman"/>
          <w:color w:val="000000"/>
        </w:rPr>
        <w:t xml:space="preserve"> BayerHaberkorn1970 infected mice for interleukin 6 (</w:t>
      </w:r>
      <w:r>
        <w:rPr>
          <w:rFonts w:ascii="Times New Roman" w:hAnsi="Times New Roman"/>
          <w:i/>
          <w:iCs/>
          <w:color w:val="000000"/>
        </w:rPr>
        <w:t>Il6</w:t>
      </w:r>
      <w:r>
        <w:rPr>
          <w:rFonts w:ascii="Times New Roman" w:hAnsi="Times New Roman"/>
          <w:color w:val="000000"/>
        </w:rPr>
        <w:t>) and interferon gamma (</w:t>
      </w:r>
      <w:r>
        <w:rPr>
          <w:rFonts w:ascii="Times New Roman" w:hAnsi="Times New Roman"/>
          <w:i/>
          <w:iCs/>
          <w:color w:val="000000"/>
        </w:rPr>
        <w:t>Ifnγ</w:t>
      </w:r>
      <w:r>
        <w:rPr>
          <w:rFonts w:ascii="Times New Roman" w:hAnsi="Times New Roman"/>
          <w:color w:val="000000"/>
        </w:rPr>
        <w:t xml:space="preserve">). </w:t>
      </w:r>
    </w:p>
    <w:p>
      <w:pPr>
        <w:pStyle w:val="TextBodyIndent"/>
        <w:spacing w:lineRule="auto" w:line="360"/>
        <w:jc w:val="both"/>
        <w:rPr/>
      </w:pPr>
      <w:r>
        <w:rPr>
          <w:rFonts w:ascii="Times New Roman" w:hAnsi="Times New Roman"/>
          <w:color w:val="000000"/>
          <w:highlight w:val="white"/>
        </w:rPr>
        <w:t xml:space="preserve">In contrast, </w:t>
      </w:r>
      <w:r>
        <w:rPr>
          <w:rFonts w:ascii="Times New Roman" w:hAnsi="Times New Roman"/>
          <w:color w:val="000000"/>
        </w:rPr>
        <w:t xml:space="preserve">for both wild-derived strains, </w:t>
      </w:r>
      <w:r>
        <w:rPr>
          <w:rFonts w:ascii="Times New Roman" w:hAnsi="Times New Roman"/>
          <w:i/>
          <w:iCs/>
          <w:color w:val="000000"/>
          <w:highlight w:val="white"/>
        </w:rPr>
        <w:t>E. falciformis</w:t>
      </w:r>
      <w:r>
        <w:rPr>
          <w:rFonts w:ascii="Times New Roman" w:hAnsi="Times New Roman"/>
          <w:color w:val="000000"/>
          <w:highlight w:val="white"/>
        </w:rPr>
        <w:t xml:space="preserve"> Brandenburg88 and </w:t>
      </w:r>
      <w:r>
        <w:rPr>
          <w:rFonts w:ascii="Times New Roman" w:hAnsi="Times New Roman"/>
          <w:i/>
          <w:iCs/>
          <w:color w:val="000000"/>
          <w:highlight w:val="white"/>
        </w:rPr>
        <w:t>E. ferris</w:t>
      </w:r>
      <w:bookmarkStart w:id="14" w:name="move515364668"/>
      <w:bookmarkEnd w:id="14"/>
      <w:r>
        <w:rPr>
          <w:rFonts w:ascii="Times New Roman" w:hAnsi="Times New Roman"/>
          <w:i/>
          <w:iCs/>
          <w:color w:val="000000"/>
          <w:highlight w:val="white"/>
        </w:rPr>
        <w:t>i</w:t>
      </w:r>
      <w:r>
        <w:rPr>
          <w:rFonts w:ascii="Times New Roman" w:hAnsi="Times New Roman"/>
          <w:color w:val="000000"/>
          <w:highlight w:val="white"/>
        </w:rPr>
        <w:t xml:space="preserve"> Brandenburg64,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levels in infections with the laboratory isolate are significantly elevated also compared to infections with both wild derived parasite isolates </w:t>
      </w:r>
      <w:r>
        <w:rPr>
          <w:rFonts w:ascii="Times New Roman" w:hAnsi="Times New Roman"/>
          <w:color w:val="000000"/>
          <w:highlight w:val="white"/>
        </w:rPr>
        <w:t xml:space="preserve">(Table 1). </w:t>
      </w:r>
    </w:p>
    <w:p>
      <w:pPr>
        <w:pStyle w:val="TextBodyIndent"/>
        <w:spacing w:lineRule="auto" w:line="360"/>
        <w:jc w:val="both"/>
        <w:rPr/>
      </w:pPr>
      <w:r>
        <w:rPr>
          <w:rFonts w:ascii="Times New Roman" w:hAnsi="Times New Roman"/>
          <w:color w:val="000000"/>
        </w:rPr>
        <w:t>Some genes show (according to the model outlined above) non-significant differences in gene expression profiles over the negative control for the whole 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w:t>
      </w:r>
      <w:r>
        <w:rPr>
          <w:rFonts w:ascii="Times New Roman" w:hAnsi="Times New Roman"/>
          <w:i/>
          <w:iCs/>
        </w:rPr>
        <w:t>Il6</w:t>
      </w:r>
      <w:r>
        <w:rPr>
          <w:rFonts w:ascii="Times New Roman" w:hAnsi="Times New Roman"/>
        </w:rPr>
        <w:t xml:space="preserve"> shows elevated levels of expression for all infection groups compared to controls at 5 dpi. Expression levels for </w:t>
      </w:r>
      <w:r>
        <w:rPr>
          <w:rFonts w:ascii="Times New Roman" w:hAnsi="Times New Roman"/>
          <w:i/>
          <w:iCs/>
          <w:color w:val="000000"/>
          <w:highlight w:val="white"/>
        </w:rPr>
        <w:t>Ifnγ</w:t>
      </w:r>
      <w:r>
        <w:rPr>
          <w:rFonts w:ascii="Times New Roman" w:hAnsi="Times New Roman"/>
          <w:color w:val="000000"/>
          <w:highlight w:val="white"/>
        </w:rPr>
        <w:t xml:space="preserve">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Both cases of potential elevations in expression fail to be detected as significant over controls in our mixed effect models, likely because they are transient and diminished already at 7 dpi. </w:t>
      </w:r>
      <w:r>
        <w:rPr>
          <w:rFonts w:ascii="Times New Roman" w:hAnsi="Times New Roman"/>
          <w:i/>
          <w:iCs/>
        </w:rPr>
        <w:t>Il10</w:t>
      </w:r>
      <w:r>
        <w:rPr>
          <w:rFonts w:ascii="Times New Roman" w:hAnsi="Times New Roman"/>
        </w:rPr>
        <w:t xml:space="preserve">, </w:t>
      </w:r>
      <w:r>
        <w:rPr>
          <w:rFonts w:ascii="Times New Roman" w:hAnsi="Times New Roman"/>
          <w:i/>
          <w:iCs/>
        </w:rPr>
        <w:t>Il12</w:t>
      </w:r>
      <w:r>
        <w:rPr>
          <w:rFonts w:ascii="Times New Roman" w:hAnsi="Times New Roman"/>
        </w:rPr>
        <w:t xml:space="preserve">, </w:t>
      </w:r>
      <w:r>
        <w:rPr>
          <w:rFonts w:ascii="Times New Roman" w:hAnsi="Times New Roman"/>
          <w:i/>
          <w:iCs/>
        </w:rPr>
        <w:t>Stat6</w:t>
      </w:r>
      <w:r>
        <w:rPr>
          <w:rFonts w:ascii="Times New Roman" w:hAnsi="Times New Roman"/>
        </w:rPr>
        <w:t xml:space="preserve"> and </w:t>
      </w:r>
      <w:r>
        <w:rPr>
          <w:rFonts w:ascii="Times New Roman" w:hAnsi="Times New Roman"/>
          <w:i/>
          <w:iCs/>
        </w:rPr>
        <w:t>CxCl9</w:t>
      </w:r>
      <w:r>
        <w:rPr>
          <w:rFonts w:ascii="Times New Roman" w:hAnsi="Times New Roman"/>
        </w:rPr>
        <w:t xml:space="preserve"> show elevated expression levels at multiple days of infection with </w:t>
      </w:r>
      <w:r>
        <w:rPr>
          <w:rFonts w:ascii="Times New Roman" w:hAnsi="Times New Roman"/>
          <w:i/>
          <w:iCs/>
        </w:rPr>
        <w:t>E. falciformis</w:t>
      </w:r>
      <w:r>
        <w:rPr>
          <w:rFonts w:ascii="Times New Roman" w:hAnsi="Times New Roman"/>
        </w:rPr>
        <w:t xml:space="preserve"> BayerHaberkorn1970 compared to all other infection groups (and were thus significant in our model). </w:t>
      </w:r>
      <w:r>
        <w:rPr>
          <w:rFonts w:ascii="Times New Roman" w:hAnsi="Times New Roman"/>
          <w:i/>
          <w:iCs/>
          <w:color w:val="000000"/>
          <w:highlight w:val="white"/>
        </w:rPr>
        <w:t>Tgfβ</w:t>
      </w:r>
      <w:r>
        <w:rPr>
          <w:rFonts w:ascii="Times New Roman" w:hAnsi="Times New Roman"/>
          <w:color w:val="000000"/>
          <w:highlight w:val="white"/>
        </w:rPr>
        <w:t xml:space="preserve"> 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sectPr>
          <w:footerReference w:type="default" r:id="rId9"/>
          <w:type w:val="nextPage"/>
          <w:pgSz w:w="12240" w:h="15840"/>
          <w:pgMar w:left="1134" w:right="1134" w:header="0" w:top="1134" w:footer="0" w:bottom="1134" w:gutter="0"/>
          <w:pgNumType w:fmt="decimal"/>
          <w:formProt w:val="false"/>
          <w:textDirection w:val="lrTb"/>
          <w:docGrid w:type="default" w:linePitch="312" w:charSpace="0"/>
        </w:sectPr>
        <w:pStyle w:val="TextBodyIndent"/>
        <w:spacing w:lineRule="auto" w:line="360"/>
        <w:jc w:val="both"/>
        <w:rPr/>
      </w:pPr>
      <w:r>
        <w:rPr>
          <w:rFonts w:ascii="Times New Roman" w:hAnsi="Times New Roman"/>
          <w:color w:val="000000"/>
          <w:highlight w:val="white"/>
        </w:rPr>
        <w:t xml:space="preserve">In summary host gene 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Brandenburg88 isolate</w:t>
      </w:r>
      <w:r>
        <w:rPr>
          <w:rFonts w:ascii="Times New Roman" w:hAnsi="Times New Roman"/>
          <w:i/>
          <w:iCs/>
          <w:color w:val="000000"/>
          <w:highlight w:val="white"/>
        </w:rPr>
        <w:t xml:space="preserve">. </w:t>
      </w:r>
    </w:p>
    <w:p>
      <w:pPr>
        <w:pStyle w:val="Normal"/>
        <w:rPr/>
      </w:pPr>
      <w:r>
        <w:rPr/>
      </w:r>
    </w:p>
    <w:p>
      <w:pPr>
        <w:pStyle w:val="Normal"/>
        <w:rPr/>
      </w:pPr>
      <w:r>
        <w:rPr/>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1</w:t>
      </w:r>
      <w:r>
        <w:rPr>
          <w:rFonts w:ascii="Times New Roman" w:hAnsi="Times New Roman"/>
          <w:color w:val="000000"/>
        </w:rPr>
        <w:t xml:space="preserve"> – Generalized linear mixed effect models show gene expression differences between wild (Brandenburg88; EfalW) and laboratory (BayerHaberkorn1970; EfalL) isolates of </w:t>
      </w:r>
      <w:r>
        <w:rPr>
          <w:rFonts w:ascii="Times New Roman" w:hAnsi="Times New Roman"/>
          <w:i/>
          <w:iCs/>
          <w:color w:val="000000"/>
        </w:rPr>
        <w:t xml:space="preserve">E. falciformis, </w:t>
      </w:r>
      <w:r>
        <w:rPr>
          <w:rFonts w:ascii="Times New Roman" w:hAnsi="Times New Roman"/>
          <w:i w:val="false"/>
          <w:iCs w:val="false"/>
          <w:color w:val="000000"/>
        </w:rPr>
        <w:t xml:space="preserve">a wild-derived isolate of </w:t>
      </w:r>
      <w:r>
        <w:rPr>
          <w:rFonts w:ascii="Times New Roman" w:hAnsi="Times New Roman"/>
          <w:i/>
          <w:iCs/>
          <w:color w:val="000000"/>
        </w:rPr>
        <w:t>E. ferrisi</w:t>
      </w:r>
      <w:r>
        <w:rPr>
          <w:rFonts w:ascii="Times New Roman" w:hAnsi="Times New Roman"/>
          <w:i w:val="false"/>
          <w:iCs w:val="false"/>
          <w:color w:val="000000"/>
        </w:rPr>
        <w:t xml:space="preserve"> (Brandenburg64) and uninfected controls (Uninf).</w:t>
      </w:r>
    </w:p>
    <w:tbl>
      <w:tblPr>
        <w:tblW w:w="18881" w:type="dxa"/>
        <w:jc w:val="left"/>
        <w:tblInd w:w="0" w:type="dxa"/>
        <w:tblBorders>
          <w:top w:val="double" w:sz="2" w:space="0" w:color="000001"/>
        </w:tblBorders>
        <w:tblCellMar>
          <w:top w:w="113" w:type="dxa"/>
          <w:left w:w="0" w:type="dxa"/>
          <w:bottom w:w="0" w:type="dxa"/>
          <w:right w:w="0" w:type="dxa"/>
        </w:tblCellMar>
      </w:tblPr>
      <w:tblGrid>
        <w:gridCol w:w="1795"/>
        <w:gridCol w:w="79"/>
        <w:gridCol w:w="572"/>
        <w:gridCol w:w="1237"/>
        <w:gridCol w:w="572"/>
        <w:gridCol w:w="4"/>
        <w:gridCol w:w="53"/>
        <w:gridCol w:w="4"/>
        <w:gridCol w:w="560"/>
        <w:gridCol w:w="1135"/>
        <w:gridCol w:w="689"/>
        <w:gridCol w:w="48"/>
        <w:gridCol w:w="1"/>
        <w:gridCol w:w="573"/>
        <w:gridCol w:w="1189"/>
        <w:gridCol w:w="572"/>
        <w:gridCol w:w="55"/>
        <w:gridCol w:w="2"/>
        <w:gridCol w:w="553"/>
        <w:gridCol w:w="1146"/>
        <w:gridCol w:w="559"/>
        <w:gridCol w:w="4"/>
        <w:gridCol w:w="62"/>
        <w:gridCol w:w="4"/>
        <w:gridCol w:w="621"/>
        <w:gridCol w:w="1195"/>
        <w:gridCol w:w="501"/>
        <w:gridCol w:w="5"/>
        <w:gridCol w:w="78"/>
        <w:gridCol w:w="5"/>
        <w:gridCol w:w="601"/>
        <w:gridCol w:w="1134"/>
        <w:gridCol w:w="793"/>
        <w:gridCol w:w="4"/>
        <w:gridCol w:w="53"/>
        <w:gridCol w:w="4"/>
        <w:gridCol w:w="506"/>
        <w:gridCol w:w="1303"/>
        <w:gridCol w:w="603"/>
      </w:tblGrid>
      <w:tr>
        <w:trPr/>
        <w:tc>
          <w:tcPr>
            <w:tcW w:w="1795" w:type="dxa"/>
            <w:tcBorders>
              <w:top w:val="double" w:sz="2" w:space="0" w:color="000001"/>
            </w:tcBorders>
            <w:shd w:fill="auto" w:val="clear"/>
            <w:vAlign w:val="center"/>
          </w:tcPr>
          <w:p>
            <w:pPr>
              <w:pStyle w:val="TableContents"/>
              <w:rPr/>
            </w:pPr>
            <w:r>
              <w:rPr/>
            </w:r>
          </w:p>
        </w:tc>
        <w:tc>
          <w:tcPr>
            <w:tcW w:w="79"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85"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CxCL9</w:t>
            </w:r>
          </w:p>
        </w:tc>
        <w:tc>
          <w:tcPr>
            <w:tcW w:w="57"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84"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Il10</w:t>
            </w:r>
          </w:p>
        </w:tc>
        <w:tc>
          <w:tcPr>
            <w:tcW w:w="48"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35"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Il12</w:t>
            </w:r>
          </w:p>
        </w:tc>
        <w:tc>
          <w:tcPr>
            <w:tcW w:w="55"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260"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Il6</w:t>
            </w:r>
          </w:p>
        </w:tc>
        <w:tc>
          <w:tcPr>
            <w:tcW w:w="66"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21"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Infγ</w:t>
            </w:r>
          </w:p>
        </w:tc>
        <w:tc>
          <w:tcPr>
            <w:tcW w:w="83"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533"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Stat6</w:t>
            </w:r>
          </w:p>
        </w:tc>
        <w:tc>
          <w:tcPr>
            <w:tcW w:w="57"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416"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Tgfβ</w:t>
            </w:r>
          </w:p>
        </w:tc>
      </w:tr>
      <w:tr>
        <w:trPr/>
        <w:tc>
          <w:tcPr>
            <w:tcW w:w="1795" w:type="dxa"/>
            <w:tcBorders/>
            <w:shd w:fill="auto" w:val="clear"/>
            <w:tcMar>
              <w:top w:w="0" w:type="dxa"/>
            </w:tcMar>
            <w:vAlign w:val="center"/>
          </w:tcPr>
          <w:p>
            <w:pPr>
              <w:pStyle w:val="TableContents"/>
              <w:rPr/>
            </w:pPr>
            <w:r>
              <w:rPr/>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i/>
                <w:i/>
              </w:rPr>
            </w:pPr>
            <w:r>
              <w:rPr>
                <w:i/>
              </w:rPr>
              <w:t>B</w:t>
            </w:r>
          </w:p>
        </w:tc>
        <w:tc>
          <w:tcPr>
            <w:tcW w:w="1237" w:type="dxa"/>
            <w:tcBorders/>
            <w:shd w:fill="auto" w:val="clear"/>
            <w:tcMar>
              <w:top w:w="0" w:type="dxa"/>
            </w:tcMar>
            <w:vAlign w:val="center"/>
          </w:tcPr>
          <w:p>
            <w:pPr>
              <w:pStyle w:val="TableContents"/>
              <w:jc w:val="center"/>
              <w:rPr>
                <w:i/>
                <w:i/>
              </w:rPr>
            </w:pPr>
            <w:r>
              <w:rPr>
                <w:i/>
              </w:rPr>
              <w:t>CI</w:t>
            </w:r>
          </w:p>
        </w:tc>
        <w:tc>
          <w:tcPr>
            <w:tcW w:w="572"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i/>
                <w:i/>
              </w:rPr>
            </w:pPr>
            <w:r>
              <w:rPr>
                <w:i/>
              </w:rPr>
              <w:t>B</w:t>
            </w:r>
          </w:p>
        </w:tc>
        <w:tc>
          <w:tcPr>
            <w:tcW w:w="1135" w:type="dxa"/>
            <w:tcBorders/>
            <w:shd w:fill="auto" w:val="clear"/>
            <w:tcMar>
              <w:top w:w="0" w:type="dxa"/>
            </w:tcMar>
            <w:vAlign w:val="center"/>
          </w:tcPr>
          <w:p>
            <w:pPr>
              <w:pStyle w:val="TableContents"/>
              <w:jc w:val="center"/>
              <w:rPr>
                <w:i/>
                <w:i/>
              </w:rPr>
            </w:pPr>
            <w:r>
              <w:rPr>
                <w:i/>
              </w:rPr>
              <w:t>CI</w:t>
            </w:r>
          </w:p>
        </w:tc>
        <w:tc>
          <w:tcPr>
            <w:tcW w:w="689" w:type="dxa"/>
            <w:tcBorders/>
            <w:shd w:fill="auto" w:val="clear"/>
            <w:tcMar>
              <w:top w:w="0" w:type="dxa"/>
            </w:tcMar>
            <w:vAlign w:val="center"/>
          </w:tcPr>
          <w:p>
            <w:pPr>
              <w:pStyle w:val="TableContents"/>
              <w:jc w:val="center"/>
              <w:rPr>
                <w:i/>
                <w:i/>
              </w:rPr>
            </w:pPr>
            <w:r>
              <w:rPr>
                <w:i/>
              </w:rPr>
              <w:t>p</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i/>
                <w:i/>
              </w:rPr>
            </w:pPr>
            <w:r>
              <w:rPr>
                <w:i/>
              </w:rPr>
              <w:t>B</w:t>
            </w:r>
          </w:p>
        </w:tc>
        <w:tc>
          <w:tcPr>
            <w:tcW w:w="1189" w:type="dxa"/>
            <w:tcBorders/>
            <w:shd w:fill="auto" w:val="clear"/>
            <w:tcMar>
              <w:top w:w="0" w:type="dxa"/>
            </w:tcMar>
            <w:vAlign w:val="center"/>
          </w:tcPr>
          <w:p>
            <w:pPr>
              <w:pStyle w:val="TableContents"/>
              <w:jc w:val="center"/>
              <w:rPr>
                <w:i/>
                <w:i/>
              </w:rPr>
            </w:pPr>
            <w:r>
              <w:rPr>
                <w:i/>
              </w:rPr>
              <w:t>CI</w:t>
            </w:r>
          </w:p>
        </w:tc>
        <w:tc>
          <w:tcPr>
            <w:tcW w:w="572"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i/>
                <w:i/>
              </w:rPr>
            </w:pPr>
            <w:r>
              <w:rPr>
                <w:i/>
              </w:rPr>
              <w:t>B</w:t>
            </w:r>
          </w:p>
        </w:tc>
        <w:tc>
          <w:tcPr>
            <w:tcW w:w="1146" w:type="dxa"/>
            <w:tcBorders/>
            <w:shd w:fill="auto" w:val="clear"/>
            <w:tcMar>
              <w:top w:w="0" w:type="dxa"/>
            </w:tcMar>
            <w:vAlign w:val="center"/>
          </w:tcPr>
          <w:p>
            <w:pPr>
              <w:pStyle w:val="TableContents"/>
              <w:jc w:val="center"/>
              <w:rPr>
                <w:i/>
                <w:i/>
              </w:rPr>
            </w:pPr>
            <w:r>
              <w:rPr>
                <w:i/>
              </w:rPr>
              <w:t>CI</w:t>
            </w:r>
          </w:p>
        </w:tc>
        <w:tc>
          <w:tcPr>
            <w:tcW w:w="563" w:type="dxa"/>
            <w:gridSpan w:val="2"/>
            <w:tcBorders/>
            <w:shd w:fill="auto" w:val="clear"/>
            <w:tcMar>
              <w:top w:w="0" w:type="dxa"/>
            </w:tcMar>
            <w:vAlign w:val="center"/>
          </w:tcPr>
          <w:p>
            <w:pPr>
              <w:pStyle w:val="TableContents"/>
              <w:jc w:val="center"/>
              <w:rPr>
                <w:i/>
                <w:i/>
              </w:rPr>
            </w:pPr>
            <w:r>
              <w:rPr>
                <w:i/>
              </w:rPr>
              <w:t>p</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i/>
                <w:i/>
              </w:rPr>
            </w:pPr>
            <w:r>
              <w:rPr>
                <w:i/>
              </w:rPr>
              <w:t>B</w:t>
            </w:r>
          </w:p>
        </w:tc>
        <w:tc>
          <w:tcPr>
            <w:tcW w:w="1195" w:type="dxa"/>
            <w:tcBorders/>
            <w:shd w:fill="auto" w:val="clear"/>
            <w:tcMar>
              <w:top w:w="0" w:type="dxa"/>
            </w:tcMar>
            <w:vAlign w:val="center"/>
          </w:tcPr>
          <w:p>
            <w:pPr>
              <w:pStyle w:val="TableContents"/>
              <w:jc w:val="center"/>
              <w:rPr>
                <w:i/>
                <w:i/>
              </w:rPr>
            </w:pPr>
            <w:r>
              <w:rPr>
                <w:i/>
              </w:rPr>
              <w:t>CI</w:t>
            </w:r>
          </w:p>
        </w:tc>
        <w:tc>
          <w:tcPr>
            <w:tcW w:w="506" w:type="dxa"/>
            <w:gridSpan w:val="2"/>
            <w:tcBorders/>
            <w:shd w:fill="auto" w:val="clear"/>
            <w:tcMar>
              <w:top w:w="0" w:type="dxa"/>
            </w:tcMar>
            <w:vAlign w:val="center"/>
          </w:tcPr>
          <w:p>
            <w:pPr>
              <w:pStyle w:val="TableContents"/>
              <w:jc w:val="center"/>
              <w:rPr>
                <w:i/>
                <w:i/>
              </w:rPr>
            </w:pPr>
            <w:r>
              <w:rPr>
                <w:i/>
              </w:rPr>
              <w:t>p</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i/>
                <w:i/>
              </w:rPr>
            </w:pPr>
            <w:r>
              <w:rPr>
                <w:i/>
              </w:rPr>
              <w:t>B</w:t>
            </w:r>
          </w:p>
        </w:tc>
        <w:tc>
          <w:tcPr>
            <w:tcW w:w="1134" w:type="dxa"/>
            <w:tcBorders/>
            <w:shd w:fill="auto" w:val="clear"/>
            <w:tcMar>
              <w:top w:w="0" w:type="dxa"/>
            </w:tcMar>
            <w:vAlign w:val="center"/>
          </w:tcPr>
          <w:p>
            <w:pPr>
              <w:pStyle w:val="TableContents"/>
              <w:jc w:val="center"/>
              <w:rPr>
                <w:i/>
                <w:i/>
              </w:rPr>
            </w:pPr>
            <w:r>
              <w:rPr>
                <w:i/>
              </w:rPr>
              <w:t>CI</w:t>
            </w:r>
          </w:p>
        </w:tc>
        <w:tc>
          <w:tcPr>
            <w:tcW w:w="797" w:type="dxa"/>
            <w:gridSpan w:val="2"/>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i/>
                <w:i/>
              </w:rPr>
            </w:pPr>
            <w:r>
              <w:rPr>
                <w:i/>
              </w:rPr>
              <w:t>B</w:t>
            </w:r>
          </w:p>
        </w:tc>
        <w:tc>
          <w:tcPr>
            <w:tcW w:w="1303" w:type="dxa"/>
            <w:tcBorders/>
            <w:shd w:fill="auto" w:val="clear"/>
            <w:tcMar>
              <w:top w:w="0" w:type="dxa"/>
            </w:tcMar>
            <w:vAlign w:val="center"/>
          </w:tcPr>
          <w:p>
            <w:pPr>
              <w:pStyle w:val="TableContents"/>
              <w:jc w:val="center"/>
              <w:rPr>
                <w:i/>
                <w:i/>
              </w:rPr>
            </w:pPr>
            <w:r>
              <w:rPr>
                <w:i/>
              </w:rPr>
              <w:t>CI</w:t>
            </w:r>
          </w:p>
        </w:tc>
        <w:tc>
          <w:tcPr>
            <w:tcW w:w="603" w:type="dxa"/>
            <w:tcBorders/>
            <w:shd w:fill="auto" w:val="clear"/>
            <w:tcMar>
              <w:top w:w="0" w:type="dxa"/>
            </w:tcMar>
            <w:vAlign w:val="center"/>
          </w:tcPr>
          <w:p>
            <w:pPr>
              <w:pStyle w:val="TableContents"/>
              <w:jc w:val="center"/>
              <w:rPr>
                <w:i/>
                <w:i/>
              </w:rPr>
            </w:pPr>
            <w:r>
              <w:rPr>
                <w:i/>
              </w:rPr>
              <w:t>p</w:t>
            </w:r>
          </w:p>
        </w:tc>
      </w:tr>
      <w:tr>
        <w:trPr/>
        <w:tc>
          <w:tcPr>
            <w:tcW w:w="18874" w:type="dxa"/>
            <w:gridSpan w:val="39"/>
            <w:tcBorders>
              <w:top w:val="single" w:sz="2" w:space="0" w:color="000001"/>
            </w:tcBorders>
            <w:shd w:fill="auto" w:val="clear"/>
            <w:vAlign w:val="center"/>
          </w:tcPr>
          <w:p>
            <w:pPr>
              <w:pStyle w:val="TableContents"/>
              <w:jc w:val="left"/>
              <w:rPr>
                <w:b/>
                <w:b/>
              </w:rPr>
            </w:pPr>
            <w:r>
              <w:rPr>
                <w:b/>
              </w:rPr>
              <w:t>Fixed Par</w:t>
            </w:r>
            <w:r>
              <w:rPr>
                <w:b/>
                <w:sz w:val="24"/>
                <w:szCs w:val="24"/>
              </w:rPr>
              <w:t xml:space="preserve">ts: </w:t>
            </w:r>
            <w:r>
              <w:rPr>
                <w:b/>
                <w:i w:val="false"/>
                <w:caps w:val="false"/>
                <w:smallCaps w:val="false"/>
                <w:strike w:val="false"/>
                <w:dstrike w:val="false"/>
                <w:color w:val="000000"/>
                <w:spacing w:val="0"/>
                <w:sz w:val="24"/>
                <w:szCs w:val="24"/>
                <w:u w:val="none"/>
                <w:effect w:val="none"/>
              </w:rPr>
              <w:t>Contrast against uninfected (intercept)</w:t>
            </w:r>
          </w:p>
        </w:tc>
      </w:tr>
      <w:tr>
        <w:trPr/>
        <w:tc>
          <w:tcPr>
            <w:tcW w:w="1795" w:type="dxa"/>
            <w:tcBorders/>
            <w:shd w:fill="auto" w:val="clear"/>
            <w:tcMar>
              <w:top w:w="0" w:type="dxa"/>
            </w:tcMar>
            <w:vAlign w:val="center"/>
          </w:tcPr>
          <w:p>
            <w:pPr>
              <w:pStyle w:val="TableContents"/>
              <w:jc w:val="left"/>
              <w:rPr/>
            </w:pPr>
            <w:r>
              <w:rPr/>
              <w:t>(Intercept)</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0.39</w:t>
            </w:r>
          </w:p>
        </w:tc>
        <w:tc>
          <w:tcPr>
            <w:tcW w:w="1237" w:type="dxa"/>
            <w:tcBorders/>
            <w:shd w:fill="auto" w:val="clear"/>
            <w:tcMar>
              <w:top w:w="0" w:type="dxa"/>
            </w:tcMar>
            <w:vAlign w:val="center"/>
          </w:tcPr>
          <w:p>
            <w:pPr>
              <w:pStyle w:val="TableContents"/>
              <w:jc w:val="center"/>
              <w:rPr/>
            </w:pPr>
            <w:r>
              <w:rPr/>
              <w:t>-0.15–0.92</w:t>
            </w:r>
          </w:p>
        </w:tc>
        <w:tc>
          <w:tcPr>
            <w:tcW w:w="572" w:type="dxa"/>
            <w:tcBorders/>
            <w:shd w:fill="auto" w:val="clear"/>
            <w:tcMar>
              <w:top w:w="0" w:type="dxa"/>
            </w:tcMar>
            <w:vAlign w:val="center"/>
          </w:tcPr>
          <w:p>
            <w:pPr>
              <w:pStyle w:val="TableContents"/>
              <w:jc w:val="center"/>
              <w:rPr/>
            </w:pPr>
            <w:r>
              <w:rPr/>
              <w:t>.194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0.04</w:t>
            </w:r>
          </w:p>
        </w:tc>
        <w:tc>
          <w:tcPr>
            <w:tcW w:w="1135" w:type="dxa"/>
            <w:tcBorders/>
            <w:shd w:fill="auto" w:val="clear"/>
            <w:tcMar>
              <w:top w:w="0" w:type="dxa"/>
            </w:tcMar>
            <w:vAlign w:val="center"/>
          </w:tcPr>
          <w:p>
            <w:pPr>
              <w:pStyle w:val="TableContents"/>
              <w:jc w:val="center"/>
              <w:rPr/>
            </w:pPr>
            <w:r>
              <w:rPr/>
              <w:t>0.01–0.07</w:t>
            </w:r>
          </w:p>
        </w:tc>
        <w:tc>
          <w:tcPr>
            <w:tcW w:w="689" w:type="dxa"/>
            <w:tcBorders/>
            <w:shd w:fill="auto" w:val="clear"/>
            <w:tcMar>
              <w:top w:w="0" w:type="dxa"/>
            </w:tcMar>
            <w:vAlign w:val="center"/>
          </w:tcPr>
          <w:p>
            <w:pPr>
              <w:pStyle w:val="TableContents"/>
              <w:jc w:val="center"/>
              <w:rPr/>
            </w:pPr>
            <w:r>
              <w:rPr/>
              <w:t>.012</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0.01</w:t>
            </w:r>
          </w:p>
        </w:tc>
        <w:tc>
          <w:tcPr>
            <w:tcW w:w="1189"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.035</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0.13</w:t>
            </w:r>
          </w:p>
        </w:tc>
        <w:tc>
          <w:tcPr>
            <w:tcW w:w="1146" w:type="dxa"/>
            <w:tcBorders/>
            <w:shd w:fill="auto" w:val="clear"/>
            <w:tcMar>
              <w:top w:w="0" w:type="dxa"/>
            </w:tcMar>
            <w:vAlign w:val="center"/>
          </w:tcPr>
          <w:p>
            <w:pPr>
              <w:pStyle w:val="TableContents"/>
              <w:jc w:val="center"/>
              <w:rPr/>
            </w:pPr>
            <w:r>
              <w:rPr/>
              <w:t>0.00–0.26</w:t>
            </w:r>
          </w:p>
        </w:tc>
        <w:tc>
          <w:tcPr>
            <w:tcW w:w="563" w:type="dxa"/>
            <w:gridSpan w:val="2"/>
            <w:tcBorders/>
            <w:shd w:fill="auto" w:val="clear"/>
            <w:tcMar>
              <w:top w:w="0" w:type="dxa"/>
            </w:tcMar>
            <w:vAlign w:val="center"/>
          </w:tcPr>
          <w:p>
            <w:pPr>
              <w:pStyle w:val="TableContents"/>
              <w:jc w:val="center"/>
              <w:rPr/>
            </w:pPr>
            <w:r>
              <w:rPr/>
              <w:t>.087</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0.04</w:t>
            </w:r>
          </w:p>
        </w:tc>
        <w:tc>
          <w:tcPr>
            <w:tcW w:w="1195" w:type="dxa"/>
            <w:tcBorders/>
            <w:shd w:fill="auto" w:val="clear"/>
            <w:tcMar>
              <w:top w:w="0" w:type="dxa"/>
            </w:tcMar>
            <w:vAlign w:val="center"/>
          </w:tcPr>
          <w:p>
            <w:pPr>
              <w:pStyle w:val="TableContents"/>
              <w:jc w:val="center"/>
              <w:rPr/>
            </w:pPr>
            <w:r>
              <w:rPr/>
              <w:t>-0.05–0.14</w:t>
            </w:r>
          </w:p>
        </w:tc>
        <w:tc>
          <w:tcPr>
            <w:tcW w:w="506" w:type="dxa"/>
            <w:gridSpan w:val="2"/>
            <w:tcBorders/>
            <w:shd w:fill="auto" w:val="clear"/>
            <w:tcMar>
              <w:top w:w="0" w:type="dxa"/>
            </w:tcMar>
            <w:vAlign w:val="center"/>
          </w:tcPr>
          <w:p>
            <w:pPr>
              <w:pStyle w:val="TableContents"/>
              <w:jc w:val="center"/>
              <w:rPr/>
            </w:pPr>
            <w:r>
              <w:rPr/>
              <w:t>.400</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0.07</w:t>
            </w:r>
          </w:p>
        </w:tc>
        <w:tc>
          <w:tcPr>
            <w:tcW w:w="1134" w:type="dxa"/>
            <w:tcBorders/>
            <w:shd w:fill="auto" w:val="clear"/>
            <w:tcMar>
              <w:top w:w="0" w:type="dxa"/>
            </w:tcMar>
            <w:vAlign w:val="center"/>
          </w:tcPr>
          <w:p>
            <w:pPr>
              <w:pStyle w:val="TableContents"/>
              <w:jc w:val="center"/>
              <w:rPr/>
            </w:pPr>
            <w:r>
              <w:rPr/>
              <w:t>0.01–0.13</w:t>
            </w:r>
          </w:p>
        </w:tc>
        <w:tc>
          <w:tcPr>
            <w:tcW w:w="797" w:type="dxa"/>
            <w:gridSpan w:val="2"/>
            <w:tcBorders/>
            <w:shd w:fill="auto" w:val="clear"/>
            <w:tcMar>
              <w:top w:w="0" w:type="dxa"/>
            </w:tcMar>
            <w:vAlign w:val="center"/>
          </w:tcPr>
          <w:p>
            <w:pPr>
              <w:pStyle w:val="TableContents"/>
              <w:jc w:val="center"/>
              <w:rPr/>
            </w:pPr>
            <w:r>
              <w:rPr/>
              <w:t>.045</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1.11</w:t>
            </w:r>
          </w:p>
        </w:tc>
        <w:tc>
          <w:tcPr>
            <w:tcW w:w="1303" w:type="dxa"/>
            <w:tcBorders/>
            <w:shd w:fill="auto" w:val="clear"/>
            <w:tcMar>
              <w:top w:w="0" w:type="dxa"/>
            </w:tcMar>
            <w:vAlign w:val="center"/>
          </w:tcPr>
          <w:p>
            <w:pPr>
              <w:pStyle w:val="TableContents"/>
              <w:jc w:val="center"/>
              <w:rPr/>
            </w:pPr>
            <w:r>
              <w:rPr/>
              <w:t>0.61–1.60</w:t>
            </w:r>
          </w:p>
        </w:tc>
        <w:tc>
          <w:tcPr>
            <w:tcW w:w="603" w:type="dxa"/>
            <w:tcBorders/>
            <w:shd w:fill="auto" w:val="clear"/>
            <w:tcMar>
              <w:top w:w="0" w:type="dxa"/>
            </w:tcMar>
            <w:vAlign w:val="center"/>
          </w:tcPr>
          <w:p>
            <w:pPr>
              <w:pStyle w:val="TableContents"/>
              <w:jc w:val="center"/>
              <w:rPr/>
            </w:pPr>
            <w:r>
              <w:rPr/>
              <w:t>&lt;.001</w:t>
            </w:r>
          </w:p>
        </w:tc>
      </w:tr>
      <w:tr>
        <w:trPr/>
        <w:tc>
          <w:tcPr>
            <w:tcW w:w="1795" w:type="dxa"/>
            <w:tcBorders/>
            <w:shd w:fill="auto" w:val="clear"/>
            <w:tcMar>
              <w:top w:w="0" w:type="dxa"/>
            </w:tcMar>
            <w:vAlign w:val="center"/>
          </w:tcPr>
          <w:p>
            <w:pPr>
              <w:pStyle w:val="TableContents"/>
              <w:jc w:val="left"/>
              <w:rPr/>
            </w:pPr>
            <w:r>
              <w:rPr/>
              <w:t>inf.strain (EfalL)</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0.87</w:t>
            </w:r>
          </w:p>
        </w:tc>
        <w:tc>
          <w:tcPr>
            <w:tcW w:w="1237" w:type="dxa"/>
            <w:tcBorders/>
            <w:shd w:fill="auto" w:val="clear"/>
            <w:tcMar>
              <w:top w:w="0" w:type="dxa"/>
            </w:tcMar>
            <w:vAlign w:val="center"/>
          </w:tcPr>
          <w:p>
            <w:pPr>
              <w:pStyle w:val="TableContents"/>
              <w:jc w:val="center"/>
              <w:rPr/>
            </w:pPr>
            <w:r>
              <w:rPr/>
              <w:t>0.38–1.36</w:t>
            </w:r>
          </w:p>
        </w:tc>
        <w:tc>
          <w:tcPr>
            <w:tcW w:w="572" w:type="dxa"/>
            <w:tcBorders/>
            <w:shd w:fill="auto" w:val="clear"/>
            <w:tcMar>
              <w:top w:w="0" w:type="dxa"/>
            </w:tcMar>
            <w:vAlign w:val="center"/>
          </w:tcPr>
          <w:p>
            <w:pPr>
              <w:pStyle w:val="TableContents"/>
              <w:jc w:val="center"/>
              <w:rPr>
                <w:b/>
                <w:b/>
              </w:rPr>
            </w:pPr>
            <w:r>
              <w:rPr>
                <w:b/>
              </w:rPr>
              <w:t>.001</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0.06</w:t>
            </w:r>
          </w:p>
        </w:tc>
        <w:tc>
          <w:tcPr>
            <w:tcW w:w="1135" w:type="dxa"/>
            <w:tcBorders/>
            <w:shd w:fill="auto" w:val="clear"/>
            <w:tcMar>
              <w:top w:w="0" w:type="dxa"/>
            </w:tcMar>
            <w:vAlign w:val="center"/>
          </w:tcPr>
          <w:p>
            <w:pPr>
              <w:pStyle w:val="TableContents"/>
              <w:jc w:val="center"/>
              <w:rPr/>
            </w:pPr>
            <w:r>
              <w:rPr/>
              <w:t>0.03–0.08</w:t>
            </w:r>
          </w:p>
        </w:tc>
        <w:tc>
          <w:tcPr>
            <w:tcW w:w="689" w:type="dxa"/>
            <w:tcBorders/>
            <w:shd w:fill="auto" w:val="clear"/>
            <w:tcMar>
              <w:top w:w="0" w:type="dxa"/>
            </w:tcMar>
            <w:vAlign w:val="center"/>
          </w:tcPr>
          <w:p>
            <w:pPr>
              <w:pStyle w:val="TableContents"/>
              <w:jc w:val="center"/>
              <w:rPr>
                <w:b/>
                <w:b/>
              </w:rPr>
            </w:pPr>
            <w:r>
              <w:rPr>
                <w:b/>
              </w:rPr>
              <w:t>&lt;.001</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0.01</w:t>
            </w:r>
          </w:p>
        </w:tc>
        <w:tc>
          <w:tcPr>
            <w:tcW w:w="1189" w:type="dxa"/>
            <w:tcBorders/>
            <w:shd w:fill="auto" w:val="clear"/>
            <w:tcMar>
              <w:top w:w="0" w:type="dxa"/>
            </w:tcMar>
            <w:vAlign w:val="center"/>
          </w:tcPr>
          <w:p>
            <w:pPr>
              <w:pStyle w:val="TableContents"/>
              <w:jc w:val="center"/>
              <w:rPr/>
            </w:pPr>
            <w:r>
              <w:rPr/>
              <w:t>0.00–0.02</w:t>
            </w:r>
          </w:p>
        </w:tc>
        <w:tc>
          <w:tcPr>
            <w:tcW w:w="572" w:type="dxa"/>
            <w:tcBorders/>
            <w:shd w:fill="auto" w:val="clear"/>
            <w:tcMar>
              <w:top w:w="0" w:type="dxa"/>
            </w:tcMar>
            <w:vAlign w:val="center"/>
          </w:tcPr>
          <w:p>
            <w:pPr>
              <w:pStyle w:val="TableContents"/>
              <w:jc w:val="center"/>
              <w:rPr>
                <w:b/>
                <w:b/>
              </w:rPr>
            </w:pPr>
            <w:r>
              <w:rPr>
                <w:b/>
              </w:rPr>
              <w:t>&lt;.001</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0.03</w:t>
            </w:r>
          </w:p>
        </w:tc>
        <w:tc>
          <w:tcPr>
            <w:tcW w:w="1146" w:type="dxa"/>
            <w:tcBorders/>
            <w:shd w:fill="auto" w:val="clear"/>
            <w:tcMar>
              <w:top w:w="0" w:type="dxa"/>
            </w:tcMar>
            <w:vAlign w:val="center"/>
          </w:tcPr>
          <w:p>
            <w:pPr>
              <w:pStyle w:val="TableContents"/>
              <w:jc w:val="center"/>
              <w:rPr/>
            </w:pPr>
            <w:r>
              <w:rPr/>
              <w:t>-0.06–0.13</w:t>
            </w:r>
          </w:p>
        </w:tc>
        <w:tc>
          <w:tcPr>
            <w:tcW w:w="563" w:type="dxa"/>
            <w:gridSpan w:val="2"/>
            <w:tcBorders/>
            <w:shd w:fill="auto" w:val="clear"/>
            <w:tcMar>
              <w:top w:w="0" w:type="dxa"/>
            </w:tcMar>
            <w:vAlign w:val="center"/>
          </w:tcPr>
          <w:p>
            <w:pPr>
              <w:pStyle w:val="TableContents"/>
              <w:jc w:val="center"/>
              <w:rPr/>
            </w:pPr>
            <w:r>
              <w:rPr/>
              <w:t>.499</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0.08</w:t>
            </w:r>
          </w:p>
        </w:tc>
        <w:tc>
          <w:tcPr>
            <w:tcW w:w="1195" w:type="dxa"/>
            <w:tcBorders/>
            <w:shd w:fill="auto" w:val="clear"/>
            <w:tcMar>
              <w:top w:w="0" w:type="dxa"/>
            </w:tcMar>
            <w:vAlign w:val="center"/>
          </w:tcPr>
          <w:p>
            <w:pPr>
              <w:pStyle w:val="TableContents"/>
              <w:jc w:val="center"/>
              <w:rPr/>
            </w:pPr>
            <w:r>
              <w:rPr/>
              <w:t>-0.04–0.20</w:t>
            </w:r>
          </w:p>
        </w:tc>
        <w:tc>
          <w:tcPr>
            <w:tcW w:w="506" w:type="dxa"/>
            <w:gridSpan w:val="2"/>
            <w:tcBorders/>
            <w:shd w:fill="auto" w:val="clear"/>
            <w:tcMar>
              <w:top w:w="0" w:type="dxa"/>
            </w:tcMar>
            <w:vAlign w:val="center"/>
          </w:tcPr>
          <w:p>
            <w:pPr>
              <w:pStyle w:val="TableContents"/>
              <w:jc w:val="center"/>
              <w:rPr/>
            </w:pPr>
            <w:r>
              <w:rPr/>
              <w:t>.194</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0.13</w:t>
            </w:r>
          </w:p>
        </w:tc>
        <w:tc>
          <w:tcPr>
            <w:tcW w:w="1134" w:type="dxa"/>
            <w:tcBorders/>
            <w:shd w:fill="auto" w:val="clear"/>
            <w:tcMar>
              <w:top w:w="0" w:type="dxa"/>
            </w:tcMar>
            <w:vAlign w:val="center"/>
          </w:tcPr>
          <w:p>
            <w:pPr>
              <w:pStyle w:val="TableContents"/>
              <w:jc w:val="center"/>
              <w:rPr/>
            </w:pPr>
            <w:r>
              <w:rPr/>
              <w:t>0.06–0.21</w:t>
            </w:r>
          </w:p>
        </w:tc>
        <w:tc>
          <w:tcPr>
            <w:tcW w:w="797" w:type="dxa"/>
            <w:gridSpan w:val="2"/>
            <w:tcBorders/>
            <w:shd w:fill="auto" w:val="clear"/>
            <w:tcMar>
              <w:top w:w="0" w:type="dxa"/>
            </w:tcMar>
            <w:vAlign w:val="center"/>
          </w:tcPr>
          <w:p>
            <w:pPr>
              <w:pStyle w:val="TableContents"/>
              <w:jc w:val="center"/>
              <w:rPr>
                <w:b/>
                <w:b/>
              </w:rPr>
            </w:pPr>
            <w:r>
              <w:rPr>
                <w:b/>
              </w:rPr>
              <w:t>&lt;.001</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0.81</w:t>
            </w:r>
          </w:p>
        </w:tc>
        <w:tc>
          <w:tcPr>
            <w:tcW w:w="1303" w:type="dxa"/>
            <w:tcBorders/>
            <w:shd w:fill="auto" w:val="clear"/>
            <w:tcMar>
              <w:top w:w="0" w:type="dxa"/>
            </w:tcMar>
            <w:vAlign w:val="center"/>
          </w:tcPr>
          <w:p>
            <w:pPr>
              <w:pStyle w:val="TableContents"/>
              <w:jc w:val="center"/>
              <w:rPr/>
            </w:pPr>
            <w:r>
              <w:rPr/>
              <w:t>0.14–1.48</w:t>
            </w:r>
          </w:p>
        </w:tc>
        <w:tc>
          <w:tcPr>
            <w:tcW w:w="603" w:type="dxa"/>
            <w:tcBorders/>
            <w:shd w:fill="auto" w:val="clear"/>
            <w:tcMar>
              <w:top w:w="0" w:type="dxa"/>
            </w:tcMar>
            <w:vAlign w:val="center"/>
          </w:tcPr>
          <w:p>
            <w:pPr>
              <w:pStyle w:val="TableContents"/>
              <w:jc w:val="center"/>
              <w:rPr>
                <w:b/>
                <w:b/>
              </w:rPr>
            </w:pPr>
            <w:r>
              <w:rPr>
                <w:b/>
              </w:rPr>
              <w:t>.021</w:t>
            </w:r>
          </w:p>
        </w:tc>
      </w:tr>
      <w:tr>
        <w:trPr/>
        <w:tc>
          <w:tcPr>
            <w:tcW w:w="1795" w:type="dxa"/>
            <w:tcBorders/>
            <w:shd w:fill="auto" w:val="clear"/>
            <w:tcMar>
              <w:top w:w="0" w:type="dxa"/>
            </w:tcMar>
            <w:vAlign w:val="center"/>
          </w:tcPr>
          <w:p>
            <w:pPr>
              <w:pStyle w:val="TableContents"/>
              <w:jc w:val="left"/>
              <w:rPr/>
            </w:pPr>
            <w:r>
              <w:rPr/>
              <w:t>inf.strain (EfalW)</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0.24</w:t>
            </w:r>
          </w:p>
        </w:tc>
        <w:tc>
          <w:tcPr>
            <w:tcW w:w="1237" w:type="dxa"/>
            <w:tcBorders/>
            <w:shd w:fill="auto" w:val="clear"/>
            <w:tcMar>
              <w:top w:w="0" w:type="dxa"/>
            </w:tcMar>
            <w:vAlign w:val="center"/>
          </w:tcPr>
          <w:p>
            <w:pPr>
              <w:pStyle w:val="TableContents"/>
              <w:jc w:val="center"/>
              <w:rPr/>
            </w:pPr>
            <w:r>
              <w:rPr/>
              <w:t>-0.25–0.73</w:t>
            </w:r>
          </w:p>
        </w:tc>
        <w:tc>
          <w:tcPr>
            <w:tcW w:w="572" w:type="dxa"/>
            <w:tcBorders/>
            <w:shd w:fill="auto" w:val="clear"/>
            <w:tcMar>
              <w:top w:w="0" w:type="dxa"/>
            </w:tcMar>
            <w:vAlign w:val="center"/>
          </w:tcPr>
          <w:p>
            <w:pPr>
              <w:pStyle w:val="TableContents"/>
              <w:jc w:val="center"/>
              <w:rPr/>
            </w:pPr>
            <w:r>
              <w:rPr/>
              <w:t>.334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-0.00</w:t>
            </w:r>
          </w:p>
        </w:tc>
        <w:tc>
          <w:tcPr>
            <w:tcW w:w="1135" w:type="dxa"/>
            <w:tcBorders/>
            <w:shd w:fill="auto" w:val="clear"/>
            <w:tcMar>
              <w:top w:w="0" w:type="dxa"/>
            </w:tcMar>
            <w:vAlign w:val="center"/>
          </w:tcPr>
          <w:p>
            <w:pPr>
              <w:pStyle w:val="TableContents"/>
              <w:jc w:val="center"/>
              <w:rPr/>
            </w:pPr>
            <w:r>
              <w:rPr/>
              <w:t>-0.03–0.03</w:t>
            </w:r>
          </w:p>
        </w:tc>
        <w:tc>
          <w:tcPr>
            <w:tcW w:w="689" w:type="dxa"/>
            <w:tcBorders/>
            <w:shd w:fill="auto" w:val="clear"/>
            <w:tcMar>
              <w:top w:w="0" w:type="dxa"/>
            </w:tcMar>
            <w:vAlign w:val="center"/>
          </w:tcPr>
          <w:p>
            <w:pPr>
              <w:pStyle w:val="TableContents"/>
              <w:jc w:val="center"/>
              <w:rPr/>
            </w:pPr>
            <w:r>
              <w:rPr/>
              <w:t>.918</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0.00</w:t>
            </w:r>
          </w:p>
        </w:tc>
        <w:tc>
          <w:tcPr>
            <w:tcW w:w="1189"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.606</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0.08</w:t>
            </w:r>
          </w:p>
        </w:tc>
        <w:tc>
          <w:tcPr>
            <w:tcW w:w="1146" w:type="dxa"/>
            <w:tcBorders/>
            <w:shd w:fill="auto" w:val="clear"/>
            <w:tcMar>
              <w:top w:w="0" w:type="dxa"/>
            </w:tcMar>
            <w:vAlign w:val="center"/>
          </w:tcPr>
          <w:p>
            <w:pPr>
              <w:pStyle w:val="TableContents"/>
              <w:jc w:val="center"/>
              <w:rPr/>
            </w:pPr>
            <w:r>
              <w:rPr/>
              <w:t>-0.02–0.17</w:t>
            </w:r>
          </w:p>
        </w:tc>
        <w:tc>
          <w:tcPr>
            <w:tcW w:w="563" w:type="dxa"/>
            <w:gridSpan w:val="2"/>
            <w:tcBorders/>
            <w:shd w:fill="auto" w:val="clear"/>
            <w:tcMar>
              <w:top w:w="0" w:type="dxa"/>
            </w:tcMar>
            <w:vAlign w:val="center"/>
          </w:tcPr>
          <w:p>
            <w:pPr>
              <w:pStyle w:val="TableContents"/>
              <w:jc w:val="center"/>
              <w:rPr/>
            </w:pPr>
            <w:r>
              <w:rPr/>
              <w:t>.109</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0.00</w:t>
            </w:r>
          </w:p>
        </w:tc>
        <w:tc>
          <w:tcPr>
            <w:tcW w:w="1195" w:type="dxa"/>
            <w:tcBorders/>
            <w:shd w:fill="auto" w:val="clear"/>
            <w:tcMar>
              <w:top w:w="0" w:type="dxa"/>
            </w:tcMar>
            <w:vAlign w:val="center"/>
          </w:tcPr>
          <w:p>
            <w:pPr>
              <w:pStyle w:val="TableContents"/>
              <w:jc w:val="center"/>
              <w:rPr/>
            </w:pPr>
            <w:r>
              <w:rPr/>
              <w:t>-0.12–0.13</w:t>
            </w:r>
          </w:p>
        </w:tc>
        <w:tc>
          <w:tcPr>
            <w:tcW w:w="506" w:type="dxa"/>
            <w:gridSpan w:val="2"/>
            <w:tcBorders/>
            <w:shd w:fill="auto" w:val="clear"/>
            <w:tcMar>
              <w:top w:w="0" w:type="dxa"/>
            </w:tcMar>
            <w:vAlign w:val="center"/>
          </w:tcPr>
          <w:p>
            <w:pPr>
              <w:pStyle w:val="TableContents"/>
              <w:jc w:val="center"/>
              <w:rPr/>
            </w:pPr>
            <w:r>
              <w:rPr/>
              <w:t>.955</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0.03</w:t>
            </w:r>
          </w:p>
        </w:tc>
        <w:tc>
          <w:tcPr>
            <w:tcW w:w="1134" w:type="dxa"/>
            <w:tcBorders/>
            <w:shd w:fill="auto" w:val="clear"/>
            <w:tcMar>
              <w:top w:w="0" w:type="dxa"/>
            </w:tcMar>
            <w:vAlign w:val="center"/>
          </w:tcPr>
          <w:p>
            <w:pPr>
              <w:pStyle w:val="TableContents"/>
              <w:jc w:val="center"/>
              <w:rPr/>
            </w:pPr>
            <w:r>
              <w:rPr/>
              <w:t>-0.04–0.11</w:t>
            </w:r>
          </w:p>
        </w:tc>
        <w:tc>
          <w:tcPr>
            <w:tcW w:w="797" w:type="dxa"/>
            <w:gridSpan w:val="2"/>
            <w:tcBorders/>
            <w:shd w:fill="auto" w:val="clear"/>
            <w:tcMar>
              <w:top w:w="0" w:type="dxa"/>
            </w:tcMar>
            <w:vAlign w:val="center"/>
          </w:tcPr>
          <w:p>
            <w:pPr>
              <w:pStyle w:val="TableContents"/>
              <w:jc w:val="center"/>
              <w:rPr/>
            </w:pPr>
            <w:r>
              <w:rPr/>
              <w:t>.380</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0.24</w:t>
            </w:r>
          </w:p>
        </w:tc>
        <w:tc>
          <w:tcPr>
            <w:tcW w:w="1303" w:type="dxa"/>
            <w:tcBorders/>
            <w:shd w:fill="auto" w:val="clear"/>
            <w:tcMar>
              <w:top w:w="0" w:type="dxa"/>
            </w:tcMar>
            <w:vAlign w:val="center"/>
          </w:tcPr>
          <w:p>
            <w:pPr>
              <w:pStyle w:val="TableContents"/>
              <w:jc w:val="center"/>
              <w:rPr/>
            </w:pPr>
            <w:r>
              <w:rPr/>
              <w:t>-0.43–0.91</w:t>
            </w:r>
          </w:p>
        </w:tc>
        <w:tc>
          <w:tcPr>
            <w:tcW w:w="603" w:type="dxa"/>
            <w:tcBorders/>
            <w:shd w:fill="auto" w:val="clear"/>
            <w:tcMar>
              <w:top w:w="0" w:type="dxa"/>
            </w:tcMar>
            <w:vAlign w:val="center"/>
          </w:tcPr>
          <w:p>
            <w:pPr>
              <w:pStyle w:val="TableContents"/>
              <w:jc w:val="center"/>
              <w:rPr/>
            </w:pPr>
            <w:r>
              <w:rPr/>
              <w:t>.480</w:t>
            </w:r>
          </w:p>
        </w:tc>
      </w:tr>
      <w:tr>
        <w:trPr/>
        <w:tc>
          <w:tcPr>
            <w:tcW w:w="1795" w:type="dxa"/>
            <w:tcBorders/>
            <w:shd w:fill="auto" w:val="clear"/>
            <w:tcMar>
              <w:top w:w="0" w:type="dxa"/>
            </w:tcMar>
            <w:vAlign w:val="center"/>
          </w:tcPr>
          <w:p>
            <w:pPr>
              <w:pStyle w:val="TableContents"/>
              <w:jc w:val="left"/>
              <w:rPr/>
            </w:pPr>
            <w:r>
              <w:rPr/>
              <w:t>inf.strain (EferW)</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0.10</w:t>
            </w:r>
          </w:p>
        </w:tc>
        <w:tc>
          <w:tcPr>
            <w:tcW w:w="1237" w:type="dxa"/>
            <w:tcBorders/>
            <w:shd w:fill="auto" w:val="clear"/>
            <w:tcMar>
              <w:top w:w="0" w:type="dxa"/>
            </w:tcMar>
            <w:vAlign w:val="center"/>
          </w:tcPr>
          <w:p>
            <w:pPr>
              <w:pStyle w:val="TableContents"/>
              <w:jc w:val="center"/>
              <w:rPr/>
            </w:pPr>
            <w:r>
              <w:rPr/>
              <w:t>-0.38–0.58</w:t>
            </w:r>
          </w:p>
        </w:tc>
        <w:tc>
          <w:tcPr>
            <w:tcW w:w="572" w:type="dxa"/>
            <w:tcBorders/>
            <w:shd w:fill="auto" w:val="clear"/>
            <w:tcMar>
              <w:top w:w="0" w:type="dxa"/>
            </w:tcMar>
            <w:vAlign w:val="center"/>
          </w:tcPr>
          <w:p>
            <w:pPr>
              <w:pStyle w:val="TableContents"/>
              <w:jc w:val="center"/>
              <w:rPr/>
            </w:pPr>
            <w:r>
              <w:rPr/>
              <w:t>.694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0.01</w:t>
            </w:r>
          </w:p>
        </w:tc>
        <w:tc>
          <w:tcPr>
            <w:tcW w:w="1135" w:type="dxa"/>
            <w:tcBorders/>
            <w:shd w:fill="auto" w:val="clear"/>
            <w:tcMar>
              <w:top w:w="0" w:type="dxa"/>
            </w:tcMar>
            <w:vAlign w:val="center"/>
          </w:tcPr>
          <w:p>
            <w:pPr>
              <w:pStyle w:val="TableContents"/>
              <w:jc w:val="center"/>
              <w:rPr/>
            </w:pPr>
            <w:r>
              <w:rPr/>
              <w:t>-0.01–0.04</w:t>
            </w:r>
          </w:p>
        </w:tc>
        <w:tc>
          <w:tcPr>
            <w:tcW w:w="689" w:type="dxa"/>
            <w:tcBorders/>
            <w:shd w:fill="auto" w:val="clear"/>
            <w:tcMar>
              <w:top w:w="0" w:type="dxa"/>
            </w:tcMar>
            <w:vAlign w:val="center"/>
          </w:tcPr>
          <w:p>
            <w:pPr>
              <w:pStyle w:val="TableContents"/>
              <w:jc w:val="center"/>
              <w:rPr/>
            </w:pPr>
            <w:r>
              <w:rPr/>
              <w:t>.374</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0.00</w:t>
            </w:r>
          </w:p>
        </w:tc>
        <w:tc>
          <w:tcPr>
            <w:tcW w:w="1189"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.403</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0.02</w:t>
            </w:r>
          </w:p>
        </w:tc>
        <w:tc>
          <w:tcPr>
            <w:tcW w:w="1146" w:type="dxa"/>
            <w:tcBorders/>
            <w:shd w:fill="auto" w:val="clear"/>
            <w:tcMar>
              <w:top w:w="0" w:type="dxa"/>
            </w:tcMar>
            <w:vAlign w:val="center"/>
          </w:tcPr>
          <w:p>
            <w:pPr>
              <w:pStyle w:val="TableContents"/>
              <w:jc w:val="center"/>
              <w:rPr/>
            </w:pPr>
            <w:r>
              <w:rPr/>
              <w:t>-0.08–0.11</w:t>
            </w:r>
          </w:p>
        </w:tc>
        <w:tc>
          <w:tcPr>
            <w:tcW w:w="563" w:type="dxa"/>
            <w:gridSpan w:val="2"/>
            <w:tcBorders/>
            <w:shd w:fill="auto" w:val="clear"/>
            <w:tcMar>
              <w:top w:w="0" w:type="dxa"/>
            </w:tcMar>
            <w:vAlign w:val="center"/>
          </w:tcPr>
          <w:p>
            <w:pPr>
              <w:pStyle w:val="TableContents"/>
              <w:jc w:val="center"/>
              <w:rPr/>
            </w:pPr>
            <w:r>
              <w:rPr/>
              <w:t>.721</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0.06</w:t>
            </w:r>
          </w:p>
        </w:tc>
        <w:tc>
          <w:tcPr>
            <w:tcW w:w="1195" w:type="dxa"/>
            <w:tcBorders/>
            <w:shd w:fill="auto" w:val="clear"/>
            <w:tcMar>
              <w:top w:w="0" w:type="dxa"/>
            </w:tcMar>
            <w:vAlign w:val="center"/>
          </w:tcPr>
          <w:p>
            <w:pPr>
              <w:pStyle w:val="TableContents"/>
              <w:jc w:val="center"/>
              <w:rPr/>
            </w:pPr>
            <w:r>
              <w:rPr/>
              <w:t>-0.06–0.18</w:t>
            </w:r>
          </w:p>
        </w:tc>
        <w:tc>
          <w:tcPr>
            <w:tcW w:w="506" w:type="dxa"/>
            <w:gridSpan w:val="2"/>
            <w:tcBorders/>
            <w:shd w:fill="auto" w:val="clear"/>
            <w:tcMar>
              <w:top w:w="0" w:type="dxa"/>
            </w:tcMar>
            <w:vAlign w:val="center"/>
          </w:tcPr>
          <w:p>
            <w:pPr>
              <w:pStyle w:val="TableContents"/>
              <w:jc w:val="center"/>
              <w:rPr/>
            </w:pPr>
            <w:r>
              <w:rPr/>
              <w:t>.353</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0.02</w:t>
            </w:r>
          </w:p>
        </w:tc>
        <w:tc>
          <w:tcPr>
            <w:tcW w:w="1134" w:type="dxa"/>
            <w:tcBorders/>
            <w:shd w:fill="auto" w:val="clear"/>
            <w:tcMar>
              <w:top w:w="0" w:type="dxa"/>
            </w:tcMar>
            <w:vAlign w:val="center"/>
          </w:tcPr>
          <w:p>
            <w:pPr>
              <w:pStyle w:val="TableContents"/>
              <w:jc w:val="center"/>
              <w:rPr/>
            </w:pPr>
            <w:r>
              <w:rPr/>
              <w:t>-0.05–0.09</w:t>
            </w:r>
          </w:p>
        </w:tc>
        <w:tc>
          <w:tcPr>
            <w:tcW w:w="797" w:type="dxa"/>
            <w:gridSpan w:val="2"/>
            <w:tcBorders/>
            <w:shd w:fill="auto" w:val="clear"/>
            <w:tcMar>
              <w:top w:w="0" w:type="dxa"/>
            </w:tcMar>
            <w:vAlign w:val="center"/>
          </w:tcPr>
          <w:p>
            <w:pPr>
              <w:pStyle w:val="TableContents"/>
              <w:jc w:val="center"/>
              <w:rPr/>
            </w:pPr>
            <w:r>
              <w:rPr/>
              <w:t>.622</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0.61</w:t>
            </w:r>
          </w:p>
        </w:tc>
        <w:tc>
          <w:tcPr>
            <w:tcW w:w="1303" w:type="dxa"/>
            <w:tcBorders/>
            <w:shd w:fill="auto" w:val="clear"/>
            <w:tcMar>
              <w:top w:w="0" w:type="dxa"/>
            </w:tcMar>
            <w:vAlign w:val="center"/>
          </w:tcPr>
          <w:p>
            <w:pPr>
              <w:pStyle w:val="TableContents"/>
              <w:jc w:val="center"/>
              <w:rPr/>
            </w:pPr>
            <w:r>
              <w:rPr/>
              <w:t>-0.04–1.27</w:t>
            </w:r>
          </w:p>
        </w:tc>
        <w:tc>
          <w:tcPr>
            <w:tcW w:w="603" w:type="dxa"/>
            <w:tcBorders/>
            <w:shd w:fill="auto" w:val="clear"/>
            <w:tcMar>
              <w:top w:w="0" w:type="dxa"/>
            </w:tcMar>
            <w:vAlign w:val="center"/>
          </w:tcPr>
          <w:p>
            <w:pPr>
              <w:pStyle w:val="TableContents"/>
              <w:jc w:val="center"/>
              <w:rPr/>
            </w:pPr>
            <w:r>
              <w:rPr/>
              <w:t>.074</w:t>
            </w:r>
          </w:p>
        </w:tc>
      </w:tr>
      <w:tr>
        <w:trPr/>
        <w:tc>
          <w:tcPr>
            <w:tcW w:w="18874" w:type="dxa"/>
            <w:gridSpan w:val="39"/>
            <w:tcBorders/>
            <w:shd w:fill="auto" w:val="clear"/>
            <w:tcMar>
              <w:top w:w="0" w:type="dxa"/>
            </w:tcMar>
            <w:vAlign w:val="center"/>
          </w:tcPr>
          <w:p>
            <w:pPr>
              <w:pStyle w:val="TableContents"/>
              <w:jc w:val="left"/>
              <w:rPr>
                <w:b/>
                <w:b/>
              </w:rPr>
            </w:pPr>
            <w:r>
              <w:rPr>
                <w:b/>
              </w:rPr>
              <w:t>Random Parts</w:t>
            </w:r>
          </w:p>
        </w:tc>
      </w:tr>
      <w:tr>
        <w:trPr>
          <w:trHeight w:val="397" w:hRule="exact"/>
        </w:trPr>
        <w:tc>
          <w:tcPr>
            <w:tcW w:w="1795" w:type="dxa"/>
            <w:tcBorders/>
            <w:shd w:fill="auto" w:val="clear"/>
            <w:tcMar>
              <w:top w:w="0" w:type="dxa"/>
            </w:tcMar>
            <w:vAlign w:val="center"/>
          </w:tcPr>
          <w:p>
            <w:pPr>
              <w:pStyle w:val="TableContents"/>
              <w:jc w:val="left"/>
              <w:rPr/>
            </w:pPr>
            <w:r>
              <w:rPr/>
              <w:t>σ</w:t>
            </w:r>
            <w:r>
              <w:rPr>
                <w:position w:val="8"/>
                <w:sz w:val="19"/>
              </w:rPr>
              <w:t>2</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0.437</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0.001</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0.000</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0.016</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0.027</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0.010</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0.814</w:t>
            </w:r>
          </w:p>
        </w:tc>
      </w:tr>
      <w:tr>
        <w:trPr>
          <w:trHeight w:val="397" w:hRule="exact"/>
        </w:trPr>
        <w:tc>
          <w:tcPr>
            <w:tcW w:w="1795" w:type="dxa"/>
            <w:tcBorders/>
            <w:shd w:fill="auto" w:val="clear"/>
            <w:tcMar>
              <w:top w:w="0" w:type="dxa"/>
            </w:tcMar>
            <w:vAlign w:val="center"/>
          </w:tcPr>
          <w:p>
            <w:pPr>
              <w:pStyle w:val="TableContents"/>
              <w:jc w:val="left"/>
              <w:rPr/>
            </w:pPr>
            <w:r>
              <w:rPr/>
              <w:t>τ</w:t>
            </w:r>
            <w:r>
              <w:rPr>
                <w:position w:val="-3"/>
                <w:sz w:val="19"/>
              </w:rPr>
              <w:t>00, dpi.diss</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0.216</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0.000</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0.000</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0.015</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0.003</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0.002</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0.028</w:t>
            </w:r>
          </w:p>
        </w:tc>
      </w:tr>
      <w:tr>
        <w:trPr>
          <w:trHeight w:val="397" w:hRule="exact"/>
        </w:trPr>
        <w:tc>
          <w:tcPr>
            <w:tcW w:w="1795" w:type="dxa"/>
            <w:tcBorders/>
            <w:shd w:fill="auto" w:val="clear"/>
            <w:tcMar>
              <w:top w:w="0" w:type="dxa"/>
            </w:tcMar>
            <w:vAlign w:val="center"/>
          </w:tcPr>
          <w:p>
            <w:pPr>
              <w:pStyle w:val="TableContents"/>
              <w:jc w:val="left"/>
              <w:rPr/>
            </w:pPr>
            <w:r>
              <w:rPr/>
              <w:t>N</w:t>
            </w:r>
            <w:r>
              <w:rPr>
                <w:position w:val="-3"/>
                <w:sz w:val="19"/>
              </w:rPr>
              <w:t>dpi.diss</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5</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5</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5</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5</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5</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5</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5</w:t>
            </w:r>
          </w:p>
        </w:tc>
      </w:tr>
      <w:tr>
        <w:trPr>
          <w:trHeight w:val="397" w:hRule="exact"/>
        </w:trPr>
        <w:tc>
          <w:tcPr>
            <w:tcW w:w="1795" w:type="dxa"/>
            <w:tcBorders/>
            <w:shd w:fill="auto" w:val="clear"/>
            <w:tcMar>
              <w:top w:w="0" w:type="dxa"/>
            </w:tcMar>
            <w:vAlign w:val="center"/>
          </w:tcPr>
          <w:p>
            <w:pPr>
              <w:pStyle w:val="TableContents"/>
              <w:jc w:val="left"/>
              <w:rPr/>
            </w:pPr>
            <w:r>
              <w:rPr/>
              <w:t>ICC</w:t>
            </w:r>
            <w:r>
              <w:rPr>
                <w:position w:val="-3"/>
                <w:sz w:val="19"/>
              </w:rPr>
              <w:t>dpi.diss</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0.331</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0.227</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0.270</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0.478</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0.084</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0.140</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0.033</w:t>
            </w:r>
          </w:p>
        </w:tc>
      </w:tr>
      <w:tr>
        <w:trPr>
          <w:trHeight w:val="397" w:hRule="exact"/>
        </w:trPr>
        <w:tc>
          <w:tcPr>
            <w:tcW w:w="1795" w:type="dxa"/>
            <w:tcBorders>
              <w:top w:val="single" w:sz="2" w:space="0" w:color="000001"/>
            </w:tcBorders>
            <w:shd w:fill="auto" w:val="clear"/>
            <w:tcMar>
              <w:top w:w="57" w:type="dxa"/>
            </w:tcMar>
            <w:vAlign w:val="center"/>
          </w:tcPr>
          <w:p>
            <w:pPr>
              <w:pStyle w:val="TableContents"/>
              <w:jc w:val="left"/>
              <w:rPr/>
            </w:pPr>
            <w:r>
              <w:rPr/>
              <w:t>Observations</w:t>
            </w:r>
          </w:p>
        </w:tc>
        <w:tc>
          <w:tcPr>
            <w:tcW w:w="79" w:type="dxa"/>
            <w:tcBorders>
              <w:top w:val="single" w:sz="2" w:space="0" w:color="000001"/>
            </w:tcBorders>
            <w:shd w:fill="auto" w:val="clear"/>
            <w:tcMar>
              <w:top w:w="28" w:type="dxa"/>
            </w:tcMar>
            <w:vAlign w:val="center"/>
          </w:tcPr>
          <w:p>
            <w:pPr>
              <w:pStyle w:val="TableContents"/>
              <w:rPr/>
            </w:pPr>
            <w:r>
              <w:rPr/>
            </w:r>
          </w:p>
        </w:tc>
        <w:tc>
          <w:tcPr>
            <w:tcW w:w="2385" w:type="dxa"/>
            <w:gridSpan w:val="4"/>
            <w:tcBorders>
              <w:top w:val="single" w:sz="2" w:space="0" w:color="000001"/>
            </w:tcBorders>
            <w:shd w:fill="auto" w:val="clear"/>
            <w:tcMar>
              <w:top w:w="57" w:type="dxa"/>
            </w:tcMar>
            <w:vAlign w:val="center"/>
          </w:tcPr>
          <w:p>
            <w:pPr>
              <w:pStyle w:val="TableContents"/>
              <w:jc w:val="center"/>
              <w:rPr/>
            </w:pPr>
            <w:r>
              <w:rPr/>
              <w:t>57</w:t>
            </w:r>
          </w:p>
        </w:tc>
        <w:tc>
          <w:tcPr>
            <w:tcW w:w="57" w:type="dxa"/>
            <w:gridSpan w:val="2"/>
            <w:tcBorders>
              <w:top w:val="single" w:sz="2" w:space="0" w:color="000001"/>
            </w:tcBorders>
            <w:shd w:fill="auto" w:val="clear"/>
            <w:tcMar>
              <w:top w:w="28" w:type="dxa"/>
            </w:tcMar>
            <w:vAlign w:val="center"/>
          </w:tcPr>
          <w:p>
            <w:pPr>
              <w:pStyle w:val="TableContents"/>
              <w:rPr/>
            </w:pPr>
            <w:r>
              <w:rPr/>
            </w:r>
          </w:p>
        </w:tc>
        <w:tc>
          <w:tcPr>
            <w:tcW w:w="2384" w:type="dxa"/>
            <w:gridSpan w:val="3"/>
            <w:tcBorders>
              <w:top w:val="single" w:sz="2" w:space="0" w:color="000001"/>
            </w:tcBorders>
            <w:shd w:fill="auto" w:val="clear"/>
            <w:tcMar>
              <w:top w:w="57" w:type="dxa"/>
            </w:tcMar>
            <w:vAlign w:val="center"/>
          </w:tcPr>
          <w:p>
            <w:pPr>
              <w:pStyle w:val="TableContents"/>
              <w:jc w:val="center"/>
              <w:rPr/>
            </w:pPr>
            <w:r>
              <w:rPr/>
              <w:t>57</w:t>
            </w:r>
          </w:p>
        </w:tc>
        <w:tc>
          <w:tcPr>
            <w:tcW w:w="48" w:type="dxa"/>
            <w:tcBorders>
              <w:top w:val="single" w:sz="2" w:space="0" w:color="000001"/>
            </w:tcBorders>
            <w:shd w:fill="auto" w:val="clear"/>
            <w:tcMar>
              <w:top w:w="28" w:type="dxa"/>
            </w:tcMar>
            <w:vAlign w:val="center"/>
          </w:tcPr>
          <w:p>
            <w:pPr>
              <w:pStyle w:val="TableContents"/>
              <w:rPr/>
            </w:pPr>
            <w:r>
              <w:rPr/>
            </w:r>
          </w:p>
        </w:tc>
        <w:tc>
          <w:tcPr>
            <w:tcW w:w="2335" w:type="dxa"/>
            <w:gridSpan w:val="4"/>
            <w:tcBorders>
              <w:top w:val="single" w:sz="2" w:space="0" w:color="000001"/>
            </w:tcBorders>
            <w:shd w:fill="auto" w:val="clear"/>
            <w:tcMar>
              <w:top w:w="57" w:type="dxa"/>
            </w:tcMar>
            <w:vAlign w:val="center"/>
          </w:tcPr>
          <w:p>
            <w:pPr>
              <w:pStyle w:val="TableContents"/>
              <w:jc w:val="center"/>
              <w:rPr/>
            </w:pPr>
            <w:r>
              <w:rPr/>
              <w:t>57</w:t>
            </w:r>
          </w:p>
        </w:tc>
        <w:tc>
          <w:tcPr>
            <w:tcW w:w="55" w:type="dxa"/>
            <w:tcBorders>
              <w:top w:val="single" w:sz="2" w:space="0" w:color="000001"/>
            </w:tcBorders>
            <w:shd w:fill="auto" w:val="clear"/>
            <w:tcMar>
              <w:top w:w="28" w:type="dxa"/>
            </w:tcMar>
            <w:vAlign w:val="center"/>
          </w:tcPr>
          <w:p>
            <w:pPr>
              <w:pStyle w:val="TableContents"/>
              <w:rPr/>
            </w:pPr>
            <w:r>
              <w:rPr/>
            </w:r>
          </w:p>
        </w:tc>
        <w:tc>
          <w:tcPr>
            <w:tcW w:w="2260" w:type="dxa"/>
            <w:gridSpan w:val="4"/>
            <w:tcBorders>
              <w:top w:val="single" w:sz="2" w:space="0" w:color="000001"/>
            </w:tcBorders>
            <w:shd w:fill="auto" w:val="clear"/>
            <w:tcMar>
              <w:top w:w="57" w:type="dxa"/>
            </w:tcMar>
            <w:vAlign w:val="center"/>
          </w:tcPr>
          <w:p>
            <w:pPr>
              <w:pStyle w:val="TableContents"/>
              <w:jc w:val="center"/>
              <w:rPr/>
            </w:pPr>
            <w:r>
              <w:rPr/>
              <w:t>57</w:t>
            </w:r>
          </w:p>
        </w:tc>
        <w:tc>
          <w:tcPr>
            <w:tcW w:w="66" w:type="dxa"/>
            <w:gridSpan w:val="2"/>
            <w:tcBorders>
              <w:top w:val="single" w:sz="2" w:space="0" w:color="000001"/>
            </w:tcBorders>
            <w:shd w:fill="auto" w:val="clear"/>
            <w:tcMar>
              <w:top w:w="28" w:type="dxa"/>
            </w:tcMar>
            <w:vAlign w:val="center"/>
          </w:tcPr>
          <w:p>
            <w:pPr>
              <w:pStyle w:val="TableContents"/>
              <w:rPr/>
            </w:pPr>
            <w:r>
              <w:rPr/>
            </w:r>
          </w:p>
        </w:tc>
        <w:tc>
          <w:tcPr>
            <w:tcW w:w="2321" w:type="dxa"/>
            <w:gridSpan w:val="4"/>
            <w:tcBorders>
              <w:top w:val="single" w:sz="2" w:space="0" w:color="000001"/>
            </w:tcBorders>
            <w:shd w:fill="auto" w:val="clear"/>
            <w:tcMar>
              <w:top w:w="57" w:type="dxa"/>
            </w:tcMar>
            <w:vAlign w:val="center"/>
          </w:tcPr>
          <w:p>
            <w:pPr>
              <w:pStyle w:val="TableContents"/>
              <w:jc w:val="center"/>
              <w:rPr/>
            </w:pPr>
            <w:r>
              <w:rPr/>
              <w:t>57</w:t>
            </w:r>
          </w:p>
        </w:tc>
        <w:tc>
          <w:tcPr>
            <w:tcW w:w="83" w:type="dxa"/>
            <w:gridSpan w:val="2"/>
            <w:tcBorders>
              <w:top w:val="single" w:sz="2" w:space="0" w:color="000001"/>
            </w:tcBorders>
            <w:shd w:fill="auto" w:val="clear"/>
            <w:tcMar>
              <w:top w:w="28" w:type="dxa"/>
            </w:tcMar>
            <w:vAlign w:val="center"/>
          </w:tcPr>
          <w:p>
            <w:pPr>
              <w:pStyle w:val="TableContents"/>
              <w:rPr/>
            </w:pPr>
            <w:r>
              <w:rPr/>
            </w:r>
          </w:p>
        </w:tc>
        <w:tc>
          <w:tcPr>
            <w:tcW w:w="2533" w:type="dxa"/>
            <w:gridSpan w:val="4"/>
            <w:tcBorders>
              <w:top w:val="single" w:sz="2" w:space="0" w:color="000001"/>
            </w:tcBorders>
            <w:shd w:fill="auto" w:val="clear"/>
            <w:tcMar>
              <w:top w:w="57" w:type="dxa"/>
            </w:tcMar>
            <w:vAlign w:val="center"/>
          </w:tcPr>
          <w:p>
            <w:pPr>
              <w:pStyle w:val="TableContents"/>
              <w:jc w:val="center"/>
              <w:rPr/>
            </w:pPr>
            <w:r>
              <w:rPr/>
              <w:t>57</w:t>
            </w:r>
          </w:p>
        </w:tc>
        <w:tc>
          <w:tcPr>
            <w:tcW w:w="57" w:type="dxa"/>
            <w:gridSpan w:val="2"/>
            <w:tcBorders>
              <w:top w:val="single" w:sz="2" w:space="0" w:color="000001"/>
            </w:tcBorders>
            <w:shd w:fill="auto" w:val="clear"/>
            <w:tcMar>
              <w:top w:w="28" w:type="dxa"/>
            </w:tcMar>
            <w:vAlign w:val="center"/>
          </w:tcPr>
          <w:p>
            <w:pPr>
              <w:pStyle w:val="TableContents"/>
              <w:rPr/>
            </w:pPr>
            <w:r>
              <w:rPr/>
            </w:r>
          </w:p>
        </w:tc>
        <w:tc>
          <w:tcPr>
            <w:tcW w:w="2416" w:type="dxa"/>
            <w:gridSpan w:val="4"/>
            <w:tcBorders>
              <w:top w:val="single" w:sz="2" w:space="0" w:color="000001"/>
            </w:tcBorders>
            <w:shd w:fill="auto" w:val="clear"/>
            <w:tcMar>
              <w:top w:w="57" w:type="dxa"/>
            </w:tcMar>
            <w:vAlign w:val="center"/>
          </w:tcPr>
          <w:p>
            <w:pPr>
              <w:pStyle w:val="TableContents"/>
              <w:jc w:val="center"/>
              <w:rPr/>
            </w:pPr>
            <w:r>
              <w:rPr/>
              <w:t>57</w:t>
            </w:r>
          </w:p>
        </w:tc>
      </w:tr>
      <w:tr>
        <w:trPr>
          <w:trHeight w:val="397" w:hRule="exact"/>
        </w:trPr>
        <w:tc>
          <w:tcPr>
            <w:tcW w:w="1795" w:type="dxa"/>
            <w:tcBorders/>
            <w:shd w:fill="auto" w:val="clear"/>
            <w:tcMar>
              <w:top w:w="0" w:type="dxa"/>
            </w:tcMar>
            <w:vAlign w:val="center"/>
          </w:tcPr>
          <w:p>
            <w:pPr>
              <w:pStyle w:val="TableContents"/>
              <w:jc w:val="left"/>
              <w:rPr/>
            </w:pPr>
            <w:r>
              <w:rPr/>
              <w:t>R</w:t>
            </w:r>
            <w:r>
              <w:rPr>
                <w:position w:val="8"/>
                <w:sz w:val="19"/>
              </w:rPr>
              <w:t>2</w:t>
            </w:r>
            <w:r>
              <w:rPr/>
              <w:t xml:space="preserve"> / Ω</w:t>
            </w:r>
            <w:r>
              <w:rPr>
                <w:position w:val="-3"/>
                <w:sz w:val="19"/>
              </w:rPr>
              <w:t>0</w:t>
            </w:r>
            <w:r>
              <w:rPr>
                <w:position w:val="8"/>
                <w:sz w:val="19"/>
              </w:rPr>
              <w:t>2</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.456 / .453</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.440 / .437</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.421 / .417</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.498 / .495</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.162 / .147</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.342 / .338</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.157 / .154</w:t>
            </w:r>
          </w:p>
        </w:tc>
      </w:tr>
    </w:tbl>
    <w:p>
      <w:pPr>
        <w:pStyle w:val="Normal"/>
        <w:rPr/>
      </w:pPr>
      <w:r>
        <w:rPr/>
      </w:r>
    </w:p>
    <w:tbl>
      <w:tblPr>
        <w:tblW w:w="18881" w:type="dxa"/>
        <w:jc w:val="left"/>
        <w:tblInd w:w="0" w:type="dxa"/>
        <w:tblBorders>
          <w:top w:val="single" w:sz="2" w:space="0" w:color="000001"/>
        </w:tblBorders>
        <w:tblCellMar>
          <w:top w:w="113" w:type="dxa"/>
          <w:left w:w="0" w:type="dxa"/>
          <w:bottom w:w="0" w:type="dxa"/>
          <w:right w:w="0" w:type="dxa"/>
        </w:tblCellMar>
      </w:tblPr>
      <w:tblGrid>
        <w:gridCol w:w="1803"/>
        <w:gridCol w:w="71"/>
        <w:gridCol w:w="563"/>
        <w:gridCol w:w="1246"/>
        <w:gridCol w:w="572"/>
        <w:gridCol w:w="57"/>
        <w:gridCol w:w="563"/>
        <w:gridCol w:w="1132"/>
        <w:gridCol w:w="686"/>
        <w:gridCol w:w="56"/>
        <w:gridCol w:w="563"/>
        <w:gridCol w:w="1190"/>
        <w:gridCol w:w="628"/>
        <w:gridCol w:w="57"/>
        <w:gridCol w:w="506"/>
        <w:gridCol w:w="1133"/>
        <w:gridCol w:w="629"/>
        <w:gridCol w:w="56"/>
        <w:gridCol w:w="563"/>
        <w:gridCol w:w="1191"/>
        <w:gridCol w:w="506"/>
        <w:gridCol w:w="83"/>
        <w:gridCol w:w="601"/>
        <w:gridCol w:w="1135"/>
        <w:gridCol w:w="796"/>
        <w:gridCol w:w="57"/>
        <w:gridCol w:w="506"/>
        <w:gridCol w:w="1303"/>
        <w:gridCol w:w="622"/>
      </w:tblGrid>
      <w:tr>
        <w:trPr/>
        <w:tc>
          <w:tcPr>
            <w:tcW w:w="18874" w:type="dxa"/>
            <w:gridSpan w:val="29"/>
            <w:tcBorders>
              <w:top w:val="single" w:sz="2" w:space="0" w:color="000001"/>
            </w:tcBorders>
            <w:shd w:fill="auto" w:val="clear"/>
            <w:vAlign w:val="center"/>
          </w:tcPr>
          <w:p>
            <w:pPr>
              <w:pStyle w:val="TableContents"/>
              <w:jc w:val="left"/>
              <w:rPr>
                <w:b/>
                <w:b/>
              </w:rPr>
            </w:pPr>
            <w:r>
              <w:rPr>
                <w:b/>
              </w:rPr>
              <w:t>Fixed Par</w:t>
            </w:r>
            <w:r>
              <w:rPr>
                <w:b/>
                <w:sz w:val="24"/>
                <w:szCs w:val="24"/>
              </w:rPr>
              <w:t xml:space="preserve">ts: Contrast against </w:t>
            </w:r>
            <w:r>
              <w:rPr>
                <w:b/>
                <w:i/>
                <w:sz w:val="24"/>
                <w:szCs w:val="24"/>
              </w:rPr>
              <w:t>E. falciformis</w:t>
            </w:r>
            <w:r>
              <w:rPr>
                <w:b/>
                <w:i w:val="false"/>
                <w:iCs w:val="false"/>
                <w:sz w:val="24"/>
                <w:szCs w:val="24"/>
              </w:rPr>
              <w:t xml:space="preserve"> BayerHaberkorn 1970 (intercept; same random effects)</w:t>
            </w:r>
          </w:p>
        </w:tc>
      </w:tr>
      <w:tr>
        <w:trPr/>
        <w:tc>
          <w:tcPr>
            <w:tcW w:w="1803" w:type="dxa"/>
            <w:tcBorders>
              <w:top w:val="double" w:sz="2" w:space="0" w:color="000001"/>
            </w:tcBorders>
            <w:shd w:fill="auto" w:val="clear"/>
            <w:tcMar>
              <w:top w:w="28" w:type="dxa"/>
            </w:tcMar>
            <w:vAlign w:val="center"/>
          </w:tcPr>
          <w:p>
            <w:pPr>
              <w:pStyle w:val="TableContents"/>
              <w:jc w:val="left"/>
              <w:rPr/>
            </w:pPr>
            <w:r>
              <w:rPr/>
              <w:t>(Intercept)</w:t>
            </w:r>
          </w:p>
        </w:tc>
        <w:tc>
          <w:tcPr>
            <w:tcW w:w="71"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1.26</w:t>
            </w:r>
          </w:p>
        </w:tc>
        <w:tc>
          <w:tcPr>
            <w:tcW w:w="1246" w:type="dxa"/>
            <w:tcBorders/>
            <w:shd w:fill="auto" w:val="clear"/>
            <w:tcMar>
              <w:top w:w="0" w:type="dxa"/>
            </w:tcMar>
            <w:vAlign w:val="center"/>
          </w:tcPr>
          <w:p>
            <w:pPr>
              <w:pStyle w:val="TableContents"/>
              <w:jc w:val="center"/>
              <w:rPr/>
            </w:pPr>
            <w:r>
              <w:rPr/>
              <w:t>0.72–1.79</w:t>
            </w:r>
          </w:p>
        </w:tc>
        <w:tc>
          <w:tcPr>
            <w:tcW w:w="572" w:type="dxa"/>
            <w:tcBorders/>
            <w:shd w:fill="auto" w:val="clear"/>
            <w:tcMar>
              <w:top w:w="0" w:type="dxa"/>
            </w:tcMar>
            <w:vAlign w:val="center"/>
          </w:tcPr>
          <w:p>
            <w:pPr>
              <w:pStyle w:val="TableContents"/>
              <w:jc w:val="center"/>
              <w:rPr/>
            </w:pPr>
            <w:r>
              <w:rPr/>
              <w:t>.002</w:t>
            </w:r>
          </w:p>
        </w:tc>
        <w:tc>
          <w:tcPr>
            <w:tcW w:w="57"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0.10</w:t>
            </w:r>
          </w:p>
        </w:tc>
        <w:tc>
          <w:tcPr>
            <w:tcW w:w="1132" w:type="dxa"/>
            <w:tcBorders/>
            <w:shd w:fill="auto" w:val="clear"/>
            <w:tcMar>
              <w:top w:w="0" w:type="dxa"/>
            </w:tcMar>
            <w:vAlign w:val="center"/>
          </w:tcPr>
          <w:p>
            <w:pPr>
              <w:pStyle w:val="TableContents"/>
              <w:jc w:val="center"/>
              <w:rPr/>
            </w:pPr>
            <w:r>
              <w:rPr/>
              <w:t>0.07–0.12</w:t>
            </w:r>
          </w:p>
        </w:tc>
        <w:tc>
          <w:tcPr>
            <w:tcW w:w="686" w:type="dxa"/>
            <w:tcBorders/>
            <w:shd w:fill="auto" w:val="clear"/>
            <w:tcMar>
              <w:top w:w="0" w:type="dxa"/>
            </w:tcMar>
            <w:vAlign w:val="center"/>
          </w:tcPr>
          <w:p>
            <w:pPr>
              <w:pStyle w:val="TableContents"/>
              <w:jc w:val="center"/>
              <w:rPr/>
            </w:pPr>
            <w:r>
              <w:rPr/>
              <w:t>&lt;.001</w:t>
            </w:r>
          </w:p>
        </w:tc>
        <w:tc>
          <w:tcPr>
            <w:tcW w:w="56"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0.02</w:t>
            </w:r>
          </w:p>
        </w:tc>
        <w:tc>
          <w:tcPr>
            <w:tcW w:w="1190" w:type="dxa"/>
            <w:tcBorders/>
            <w:shd w:fill="auto" w:val="clear"/>
            <w:tcMar>
              <w:top w:w="0" w:type="dxa"/>
            </w:tcMar>
            <w:vAlign w:val="center"/>
          </w:tcPr>
          <w:p>
            <w:pPr>
              <w:pStyle w:val="TableContents"/>
              <w:jc w:val="center"/>
              <w:rPr/>
            </w:pPr>
            <w:r>
              <w:rPr/>
              <w:t>0.01–0.02</w:t>
            </w:r>
          </w:p>
        </w:tc>
        <w:tc>
          <w:tcPr>
            <w:tcW w:w="628" w:type="dxa"/>
            <w:tcBorders/>
            <w:shd w:fill="auto" w:val="clear"/>
            <w:tcMar>
              <w:top w:w="0" w:type="dxa"/>
            </w:tcMar>
            <w:vAlign w:val="center"/>
          </w:tcPr>
          <w:p>
            <w:pPr>
              <w:pStyle w:val="TableContents"/>
              <w:jc w:val="center"/>
              <w:rPr/>
            </w:pPr>
            <w:r>
              <w:rPr/>
              <w:t>&lt;.001</w:t>
            </w:r>
          </w:p>
        </w:tc>
        <w:tc>
          <w:tcPr>
            <w:tcW w:w="57" w:type="dxa"/>
            <w:tcBorders>
              <w:top w:val="double" w:sz="2" w:space="0" w:color="000001"/>
            </w:tcBorders>
            <w:shd w:fill="auto" w:val="clear"/>
            <w:tcMar>
              <w:top w:w="28"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0.16</w:t>
            </w:r>
          </w:p>
        </w:tc>
        <w:tc>
          <w:tcPr>
            <w:tcW w:w="1133" w:type="dxa"/>
            <w:tcBorders/>
            <w:shd w:fill="auto" w:val="clear"/>
            <w:tcMar>
              <w:top w:w="0" w:type="dxa"/>
            </w:tcMar>
            <w:vAlign w:val="center"/>
          </w:tcPr>
          <w:p>
            <w:pPr>
              <w:pStyle w:val="TableContents"/>
              <w:jc w:val="center"/>
              <w:rPr/>
            </w:pPr>
            <w:r>
              <w:rPr/>
              <w:t>0.04–0.29</w:t>
            </w:r>
          </w:p>
        </w:tc>
        <w:tc>
          <w:tcPr>
            <w:tcW w:w="629" w:type="dxa"/>
            <w:tcBorders/>
            <w:shd w:fill="auto" w:val="clear"/>
            <w:tcMar>
              <w:top w:w="0" w:type="dxa"/>
            </w:tcMar>
            <w:vAlign w:val="center"/>
          </w:tcPr>
          <w:p>
            <w:pPr>
              <w:pStyle w:val="TableContents"/>
              <w:jc w:val="center"/>
              <w:rPr/>
            </w:pPr>
            <w:r>
              <w:rPr/>
              <w:t>.042</w:t>
            </w:r>
          </w:p>
        </w:tc>
        <w:tc>
          <w:tcPr>
            <w:tcW w:w="56"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0.12</w:t>
            </w:r>
          </w:p>
        </w:tc>
        <w:tc>
          <w:tcPr>
            <w:tcW w:w="1191" w:type="dxa"/>
            <w:tcBorders/>
            <w:shd w:fill="auto" w:val="clear"/>
            <w:tcMar>
              <w:top w:w="0" w:type="dxa"/>
            </w:tcMar>
            <w:vAlign w:val="center"/>
          </w:tcPr>
          <w:p>
            <w:pPr>
              <w:pStyle w:val="TableContents"/>
              <w:jc w:val="center"/>
              <w:rPr/>
            </w:pPr>
            <w:r>
              <w:rPr/>
              <w:t>0.03–0.22</w:t>
            </w:r>
          </w:p>
        </w:tc>
        <w:tc>
          <w:tcPr>
            <w:tcW w:w="506" w:type="dxa"/>
            <w:tcBorders/>
            <w:shd w:fill="auto" w:val="clear"/>
            <w:tcMar>
              <w:top w:w="0" w:type="dxa"/>
            </w:tcMar>
            <w:vAlign w:val="center"/>
          </w:tcPr>
          <w:p>
            <w:pPr>
              <w:pStyle w:val="TableContents"/>
              <w:jc w:val="center"/>
              <w:rPr/>
            </w:pPr>
            <w:r>
              <w:rPr/>
              <w:t>.020</w:t>
            </w:r>
          </w:p>
        </w:tc>
        <w:tc>
          <w:tcPr>
            <w:tcW w:w="83" w:type="dxa"/>
            <w:tcBorders>
              <w:top w:val="double" w:sz="2" w:space="0" w:color="000001"/>
            </w:tcBorders>
            <w:shd w:fill="auto" w:val="clear"/>
            <w:tcMar>
              <w:top w:w="28"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0.20</w:t>
            </w:r>
          </w:p>
        </w:tc>
        <w:tc>
          <w:tcPr>
            <w:tcW w:w="1135" w:type="dxa"/>
            <w:tcBorders/>
            <w:shd w:fill="auto" w:val="clear"/>
            <w:tcMar>
              <w:top w:w="0" w:type="dxa"/>
            </w:tcMar>
            <w:vAlign w:val="center"/>
          </w:tcPr>
          <w:p>
            <w:pPr>
              <w:pStyle w:val="TableContents"/>
              <w:jc w:val="center"/>
              <w:rPr/>
            </w:pPr>
            <w:r>
              <w:rPr/>
              <w:t>0.14–0.26</w:t>
            </w:r>
          </w:p>
        </w:tc>
        <w:tc>
          <w:tcPr>
            <w:tcW w:w="796" w:type="dxa"/>
            <w:tcBorders/>
            <w:shd w:fill="auto" w:val="clear"/>
            <w:tcMar>
              <w:top w:w="0" w:type="dxa"/>
            </w:tcMar>
            <w:vAlign w:val="center"/>
          </w:tcPr>
          <w:p>
            <w:pPr>
              <w:pStyle w:val="TableContents"/>
              <w:jc w:val="center"/>
              <w:rPr/>
            </w:pPr>
            <w:r>
              <w:rPr/>
              <w:t>&lt;.001</w:t>
            </w:r>
          </w:p>
        </w:tc>
        <w:tc>
          <w:tcPr>
            <w:tcW w:w="57" w:type="dxa"/>
            <w:tcBorders>
              <w:top w:val="double" w:sz="2" w:space="0" w:color="000001"/>
            </w:tcBorders>
            <w:shd w:fill="auto" w:val="clear"/>
            <w:tcMar>
              <w:top w:w="28"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1.92</w:t>
            </w:r>
          </w:p>
        </w:tc>
        <w:tc>
          <w:tcPr>
            <w:tcW w:w="1303" w:type="dxa"/>
            <w:tcBorders/>
            <w:shd w:fill="auto" w:val="clear"/>
            <w:tcMar>
              <w:top w:w="0" w:type="dxa"/>
            </w:tcMar>
            <w:vAlign w:val="center"/>
          </w:tcPr>
          <w:p>
            <w:pPr>
              <w:pStyle w:val="TableContents"/>
              <w:jc w:val="center"/>
              <w:rPr/>
            </w:pPr>
            <w:r>
              <w:rPr/>
              <w:t>1.43–2.42</w:t>
            </w:r>
          </w:p>
        </w:tc>
        <w:tc>
          <w:tcPr>
            <w:tcW w:w="622" w:type="dxa"/>
            <w:tcBorders/>
            <w:shd w:fill="auto" w:val="clear"/>
            <w:tcMar>
              <w:top w:w="0" w:type="dxa"/>
            </w:tcMar>
            <w:vAlign w:val="center"/>
          </w:tcPr>
          <w:p>
            <w:pPr>
              <w:pStyle w:val="TableContents"/>
              <w:jc w:val="center"/>
              <w:rPr/>
            </w:pPr>
            <w:r>
              <w:rPr/>
              <w:t>&lt;.001</w:t>
            </w:r>
          </w:p>
        </w:tc>
      </w:tr>
      <w:tr>
        <w:trPr/>
        <w:tc>
          <w:tcPr>
            <w:tcW w:w="1803" w:type="dxa"/>
            <w:tcBorders/>
            <w:shd w:fill="auto" w:val="clear"/>
            <w:tcMar>
              <w:top w:w="0" w:type="dxa"/>
            </w:tcMar>
            <w:vAlign w:val="center"/>
          </w:tcPr>
          <w:p>
            <w:pPr>
              <w:pStyle w:val="TableContents"/>
              <w:jc w:val="left"/>
              <w:rPr/>
            </w:pPr>
            <w:r>
              <w:rPr/>
              <w:t>inf.strain (EfalW)</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-0.63</w:t>
            </w:r>
          </w:p>
        </w:tc>
        <w:tc>
          <w:tcPr>
            <w:tcW w:w="1246" w:type="dxa"/>
            <w:tcBorders/>
            <w:shd w:fill="auto" w:val="clear"/>
            <w:tcMar>
              <w:top w:w="0" w:type="dxa"/>
            </w:tcMar>
            <w:vAlign w:val="center"/>
          </w:tcPr>
          <w:p>
            <w:pPr>
              <w:pStyle w:val="TableContents"/>
              <w:jc w:val="center"/>
              <w:rPr/>
            </w:pPr>
            <w:r>
              <w:rPr/>
              <w:t>-1.12–-0.14</w:t>
            </w:r>
          </w:p>
        </w:tc>
        <w:tc>
          <w:tcPr>
            <w:tcW w:w="572" w:type="dxa"/>
            <w:tcBorders/>
            <w:shd w:fill="auto" w:val="clear"/>
            <w:tcMar>
              <w:top w:w="0" w:type="dxa"/>
            </w:tcMar>
            <w:vAlign w:val="center"/>
          </w:tcPr>
          <w:p>
            <w:pPr>
              <w:pStyle w:val="TableContents"/>
              <w:jc w:val="center"/>
              <w:rPr>
                <w:b/>
                <w:b/>
              </w:rPr>
            </w:pPr>
            <w:r>
              <w:rPr>
                <w:b/>
              </w:rPr>
              <w:t>.015</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-0.06</w:t>
            </w:r>
          </w:p>
        </w:tc>
        <w:tc>
          <w:tcPr>
            <w:tcW w:w="1132" w:type="dxa"/>
            <w:tcBorders/>
            <w:shd w:fill="auto" w:val="clear"/>
            <w:tcMar>
              <w:top w:w="0" w:type="dxa"/>
            </w:tcMar>
            <w:vAlign w:val="center"/>
          </w:tcPr>
          <w:p>
            <w:pPr>
              <w:pStyle w:val="TableContents"/>
              <w:jc w:val="center"/>
              <w:rPr/>
            </w:pPr>
            <w:r>
              <w:rPr/>
              <w:t>-0.08–-0.03</w:t>
            </w:r>
          </w:p>
        </w:tc>
        <w:tc>
          <w:tcPr>
            <w:tcW w:w="686" w:type="dxa"/>
            <w:tcBorders/>
            <w:shd w:fill="auto" w:val="clear"/>
            <w:tcMar>
              <w:top w:w="0" w:type="dxa"/>
            </w:tcMar>
            <w:vAlign w:val="center"/>
          </w:tcPr>
          <w:p>
            <w:pPr>
              <w:pStyle w:val="TableContents"/>
              <w:jc w:val="center"/>
              <w:rPr>
                <w:b/>
                <w:b/>
              </w:rPr>
            </w:pPr>
            <w:r>
              <w:rPr>
                <w:b/>
              </w:rPr>
              <w:t>&lt;.001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-0.01–-0.00</w:t>
            </w:r>
          </w:p>
        </w:tc>
        <w:tc>
          <w:tcPr>
            <w:tcW w:w="628"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0.05</w:t>
            </w:r>
          </w:p>
        </w:tc>
        <w:tc>
          <w:tcPr>
            <w:tcW w:w="1133" w:type="dxa"/>
            <w:tcBorders/>
            <w:shd w:fill="auto" w:val="clear"/>
            <w:tcMar>
              <w:top w:w="0" w:type="dxa"/>
            </w:tcMar>
            <w:vAlign w:val="center"/>
          </w:tcPr>
          <w:p>
            <w:pPr>
              <w:pStyle w:val="TableContents"/>
              <w:jc w:val="center"/>
              <w:rPr/>
            </w:pPr>
            <w:r>
              <w:rPr/>
              <w:t>-0.05–0.14</w:t>
            </w:r>
          </w:p>
        </w:tc>
        <w:tc>
          <w:tcPr>
            <w:tcW w:w="629" w:type="dxa"/>
            <w:tcBorders/>
            <w:shd w:fill="auto" w:val="clear"/>
            <w:tcMar>
              <w:top w:w="0" w:type="dxa"/>
            </w:tcMar>
            <w:vAlign w:val="center"/>
          </w:tcPr>
          <w:p>
            <w:pPr>
              <w:pStyle w:val="TableContents"/>
              <w:jc w:val="center"/>
              <w:rPr/>
            </w:pPr>
            <w:r>
              <w:rPr/>
              <w:t>.347</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-0.08</w:t>
            </w:r>
          </w:p>
        </w:tc>
        <w:tc>
          <w:tcPr>
            <w:tcW w:w="1191" w:type="dxa"/>
            <w:tcBorders/>
            <w:shd w:fill="auto" w:val="clear"/>
            <w:tcMar>
              <w:top w:w="0" w:type="dxa"/>
            </w:tcMar>
            <w:vAlign w:val="center"/>
          </w:tcPr>
          <w:p>
            <w:pPr>
              <w:pStyle w:val="TableContents"/>
              <w:jc w:val="center"/>
              <w:rPr/>
            </w:pPr>
            <w:r>
              <w:rPr/>
              <w:t>-0.20–0.04</w:t>
            </w:r>
          </w:p>
        </w:tc>
        <w:tc>
          <w:tcPr>
            <w:tcW w:w="506" w:type="dxa"/>
            <w:tcBorders/>
            <w:shd w:fill="auto" w:val="clear"/>
            <w:tcMar>
              <w:top w:w="0" w:type="dxa"/>
            </w:tcMar>
            <w:vAlign w:val="center"/>
          </w:tcPr>
          <w:p>
            <w:pPr>
              <w:pStyle w:val="TableContents"/>
              <w:jc w:val="center"/>
              <w:rPr/>
            </w:pPr>
            <w:r>
              <w:rPr/>
              <w:t>.213</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-0.10</w:t>
            </w:r>
          </w:p>
        </w:tc>
        <w:tc>
          <w:tcPr>
            <w:tcW w:w="1135" w:type="dxa"/>
            <w:tcBorders/>
            <w:shd w:fill="auto" w:val="clear"/>
            <w:tcMar>
              <w:top w:w="0" w:type="dxa"/>
            </w:tcMar>
            <w:vAlign w:val="center"/>
          </w:tcPr>
          <w:p>
            <w:pPr>
              <w:pStyle w:val="TableContents"/>
              <w:jc w:val="center"/>
              <w:rPr/>
            </w:pPr>
            <w:r>
              <w:rPr/>
              <w:t>-0.17–-0.03</w:t>
            </w:r>
          </w:p>
        </w:tc>
        <w:tc>
          <w:tcPr>
            <w:tcW w:w="796" w:type="dxa"/>
            <w:tcBorders/>
            <w:shd w:fill="auto" w:val="clear"/>
            <w:tcMar>
              <w:top w:w="0" w:type="dxa"/>
            </w:tcMar>
            <w:vAlign w:val="center"/>
          </w:tcPr>
          <w:p>
            <w:pPr>
              <w:pStyle w:val="TableContents"/>
              <w:jc w:val="center"/>
              <w:rPr>
                <w:b/>
                <w:b/>
              </w:rPr>
            </w:pPr>
            <w:r>
              <w:rPr>
                <w:b/>
              </w:rPr>
              <w:t>.010</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-0.57</w:t>
            </w:r>
          </w:p>
        </w:tc>
        <w:tc>
          <w:tcPr>
            <w:tcW w:w="1303" w:type="dxa"/>
            <w:tcBorders/>
            <w:shd w:fill="auto" w:val="clear"/>
            <w:tcMar>
              <w:top w:w="0" w:type="dxa"/>
            </w:tcMar>
            <w:vAlign w:val="center"/>
          </w:tcPr>
          <w:p>
            <w:pPr>
              <w:pStyle w:val="TableContents"/>
              <w:jc w:val="center"/>
              <w:rPr/>
            </w:pPr>
            <w:r>
              <w:rPr/>
              <w:t>-1.24–0.10</w:t>
            </w:r>
          </w:p>
        </w:tc>
        <w:tc>
          <w:tcPr>
            <w:tcW w:w="622" w:type="dxa"/>
            <w:tcBorders/>
            <w:shd w:fill="auto" w:val="clear"/>
            <w:tcMar>
              <w:top w:w="0" w:type="dxa"/>
            </w:tcMar>
            <w:vAlign w:val="center"/>
          </w:tcPr>
          <w:p>
            <w:pPr>
              <w:pStyle w:val="TableContents"/>
              <w:jc w:val="center"/>
              <w:rPr/>
            </w:pPr>
            <w:r>
              <w:rPr/>
              <w:t>.101</w:t>
            </w:r>
          </w:p>
        </w:tc>
      </w:tr>
      <w:tr>
        <w:trPr/>
        <w:tc>
          <w:tcPr>
            <w:tcW w:w="1803" w:type="dxa"/>
            <w:tcBorders/>
            <w:shd w:fill="auto" w:val="clear"/>
            <w:tcMar>
              <w:top w:w="0" w:type="dxa"/>
            </w:tcMar>
            <w:vAlign w:val="center"/>
          </w:tcPr>
          <w:p>
            <w:pPr>
              <w:pStyle w:val="TableContents"/>
              <w:jc w:val="left"/>
              <w:rPr/>
            </w:pPr>
            <w:r>
              <w:rPr/>
              <w:t>inf.strain (EferW)</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-0.78</w:t>
            </w:r>
          </w:p>
        </w:tc>
        <w:tc>
          <w:tcPr>
            <w:tcW w:w="1246" w:type="dxa"/>
            <w:tcBorders/>
            <w:shd w:fill="auto" w:val="clear"/>
            <w:tcMar>
              <w:top w:w="0" w:type="dxa"/>
            </w:tcMar>
            <w:vAlign w:val="center"/>
          </w:tcPr>
          <w:p>
            <w:pPr>
              <w:pStyle w:val="TableContents"/>
              <w:jc w:val="center"/>
              <w:rPr/>
            </w:pPr>
            <w:r>
              <w:rPr/>
              <w:t>-1.26–-0.29</w:t>
            </w:r>
          </w:p>
        </w:tc>
        <w:tc>
          <w:tcPr>
            <w:tcW w:w="572"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-0.04</w:t>
            </w:r>
          </w:p>
        </w:tc>
        <w:tc>
          <w:tcPr>
            <w:tcW w:w="1132" w:type="dxa"/>
            <w:tcBorders/>
            <w:shd w:fill="auto" w:val="clear"/>
            <w:tcMar>
              <w:top w:w="0" w:type="dxa"/>
            </w:tcMar>
            <w:vAlign w:val="center"/>
          </w:tcPr>
          <w:p>
            <w:pPr>
              <w:pStyle w:val="TableContents"/>
              <w:jc w:val="center"/>
              <w:rPr/>
            </w:pPr>
            <w:r>
              <w:rPr/>
              <w:t>-0.07–-0.02</w:t>
            </w:r>
          </w:p>
        </w:tc>
        <w:tc>
          <w:tcPr>
            <w:tcW w:w="686" w:type="dxa"/>
            <w:tcBorders/>
            <w:shd w:fill="auto" w:val="clear"/>
            <w:tcMar>
              <w:top w:w="0" w:type="dxa"/>
            </w:tcMar>
            <w:vAlign w:val="center"/>
          </w:tcPr>
          <w:p>
            <w:pPr>
              <w:pStyle w:val="TableContents"/>
              <w:jc w:val="center"/>
              <w:rPr>
                <w:b/>
                <w:b/>
              </w:rPr>
            </w:pPr>
            <w:r>
              <w:rPr>
                <w:b/>
              </w:rPr>
              <w:t>.002</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-0.01–-0.00</w:t>
            </w:r>
          </w:p>
        </w:tc>
        <w:tc>
          <w:tcPr>
            <w:tcW w:w="628" w:type="dxa"/>
            <w:tcBorders/>
            <w:shd w:fill="auto" w:val="clear"/>
            <w:tcMar>
              <w:top w:w="0" w:type="dxa"/>
            </w:tcMar>
            <w:vAlign w:val="center"/>
          </w:tcPr>
          <w:p>
            <w:pPr>
              <w:pStyle w:val="TableContents"/>
              <w:jc w:val="center"/>
              <w:rPr>
                <w:b/>
                <w:b/>
              </w:rPr>
            </w:pPr>
            <w:r>
              <w:rPr>
                <w:b/>
              </w:rPr>
              <w:t>.006</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-0.02</w:t>
            </w:r>
          </w:p>
        </w:tc>
        <w:tc>
          <w:tcPr>
            <w:tcW w:w="1133" w:type="dxa"/>
            <w:tcBorders/>
            <w:shd w:fill="auto" w:val="clear"/>
            <w:tcMar>
              <w:top w:w="0" w:type="dxa"/>
            </w:tcMar>
            <w:vAlign w:val="center"/>
          </w:tcPr>
          <w:p>
            <w:pPr>
              <w:pStyle w:val="TableContents"/>
              <w:jc w:val="center"/>
              <w:rPr/>
            </w:pPr>
            <w:r>
              <w:rPr/>
              <w:t>-0.11–0.08</w:t>
            </w:r>
          </w:p>
        </w:tc>
        <w:tc>
          <w:tcPr>
            <w:tcW w:w="629" w:type="dxa"/>
            <w:tcBorders/>
            <w:shd w:fill="auto" w:val="clear"/>
            <w:tcMar>
              <w:top w:w="0" w:type="dxa"/>
            </w:tcMar>
            <w:vAlign w:val="center"/>
          </w:tcPr>
          <w:p>
            <w:pPr>
              <w:pStyle w:val="TableContents"/>
              <w:jc w:val="center"/>
              <w:rPr/>
            </w:pPr>
            <w:r>
              <w:rPr/>
              <w:t>.741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-0.02</w:t>
            </w:r>
          </w:p>
        </w:tc>
        <w:tc>
          <w:tcPr>
            <w:tcW w:w="1191" w:type="dxa"/>
            <w:tcBorders/>
            <w:shd w:fill="auto" w:val="clear"/>
            <w:tcMar>
              <w:top w:w="0" w:type="dxa"/>
            </w:tcMar>
            <w:vAlign w:val="center"/>
          </w:tcPr>
          <w:p>
            <w:pPr>
              <w:pStyle w:val="TableContents"/>
              <w:jc w:val="center"/>
              <w:rPr/>
            </w:pPr>
            <w:r>
              <w:rPr/>
              <w:t>-0.15–0.10</w:t>
            </w:r>
          </w:p>
        </w:tc>
        <w:tc>
          <w:tcPr>
            <w:tcW w:w="506" w:type="dxa"/>
            <w:tcBorders/>
            <w:shd w:fill="auto" w:val="clear"/>
            <w:tcMar>
              <w:top w:w="0" w:type="dxa"/>
            </w:tcMar>
            <w:vAlign w:val="center"/>
          </w:tcPr>
          <w:p>
            <w:pPr>
              <w:pStyle w:val="TableContents"/>
              <w:jc w:val="center"/>
              <w:rPr/>
            </w:pPr>
            <w:r>
              <w:rPr/>
              <w:t>.690</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-0.12</w:t>
            </w:r>
          </w:p>
        </w:tc>
        <w:tc>
          <w:tcPr>
            <w:tcW w:w="1135" w:type="dxa"/>
            <w:tcBorders/>
            <w:shd w:fill="auto" w:val="clear"/>
            <w:tcMar>
              <w:top w:w="0" w:type="dxa"/>
            </w:tcMar>
            <w:vAlign w:val="center"/>
          </w:tcPr>
          <w:p>
            <w:pPr>
              <w:pStyle w:val="TableContents"/>
              <w:jc w:val="center"/>
              <w:rPr/>
            </w:pPr>
            <w:r>
              <w:rPr/>
              <w:t>-0.19–-0.04</w:t>
            </w:r>
          </w:p>
        </w:tc>
        <w:tc>
          <w:tcPr>
            <w:tcW w:w="796"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-0.20</w:t>
            </w:r>
          </w:p>
        </w:tc>
        <w:tc>
          <w:tcPr>
            <w:tcW w:w="1303" w:type="dxa"/>
            <w:tcBorders/>
            <w:shd w:fill="auto" w:val="clear"/>
            <w:tcMar>
              <w:top w:w="0" w:type="dxa"/>
            </w:tcMar>
            <w:vAlign w:val="center"/>
          </w:tcPr>
          <w:p>
            <w:pPr>
              <w:pStyle w:val="TableContents"/>
              <w:jc w:val="center"/>
              <w:rPr/>
            </w:pPr>
            <w:r>
              <w:rPr/>
              <w:t>-0.86–0.46</w:t>
            </w:r>
          </w:p>
        </w:tc>
        <w:tc>
          <w:tcPr>
            <w:tcW w:w="622" w:type="dxa"/>
            <w:tcBorders/>
            <w:shd w:fill="auto" w:val="clear"/>
            <w:tcMar>
              <w:top w:w="0" w:type="dxa"/>
            </w:tcMar>
            <w:vAlign w:val="center"/>
          </w:tcPr>
          <w:p>
            <w:pPr>
              <w:pStyle w:val="TableContents"/>
              <w:jc w:val="center"/>
              <w:rPr/>
            </w:pPr>
            <w:r>
              <w:rPr/>
              <w:t>.553</w:t>
            </w:r>
          </w:p>
        </w:tc>
      </w:tr>
      <w:tr>
        <w:trPr/>
        <w:tc>
          <w:tcPr>
            <w:tcW w:w="1803" w:type="dxa"/>
            <w:tcBorders/>
            <w:shd w:fill="auto" w:val="clear"/>
            <w:tcMar>
              <w:top w:w="0" w:type="dxa"/>
            </w:tcMar>
            <w:vAlign w:val="center"/>
          </w:tcPr>
          <w:p>
            <w:pPr>
              <w:pStyle w:val="TableContents"/>
              <w:jc w:val="left"/>
              <w:rPr/>
            </w:pPr>
            <w:r>
              <w:rPr/>
              <w:t>inf.strain (Uninf)</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-0.87</w:t>
            </w:r>
          </w:p>
        </w:tc>
        <w:tc>
          <w:tcPr>
            <w:tcW w:w="1246" w:type="dxa"/>
            <w:tcBorders/>
            <w:shd w:fill="auto" w:val="clear"/>
            <w:tcMar>
              <w:top w:w="0" w:type="dxa"/>
            </w:tcMar>
            <w:vAlign w:val="center"/>
          </w:tcPr>
          <w:p>
            <w:pPr>
              <w:pStyle w:val="TableContents"/>
              <w:jc w:val="center"/>
              <w:rPr/>
            </w:pPr>
            <w:r>
              <w:rPr/>
              <w:t>-1.36–-0.38</w:t>
            </w:r>
          </w:p>
        </w:tc>
        <w:tc>
          <w:tcPr>
            <w:tcW w:w="572" w:type="dxa"/>
            <w:tcBorders/>
            <w:shd w:fill="auto" w:val="clear"/>
            <w:tcMar>
              <w:top w:w="0" w:type="dxa"/>
            </w:tcMar>
            <w:vAlign w:val="center"/>
          </w:tcPr>
          <w:p>
            <w:pPr>
              <w:pStyle w:val="TableContents"/>
              <w:jc w:val="center"/>
              <w:rPr>
                <w:b/>
                <w:b/>
              </w:rPr>
            </w:pPr>
            <w:r>
              <w:rPr>
                <w:b/>
              </w:rPr>
              <w:t>.001</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-0.06</w:t>
            </w:r>
          </w:p>
        </w:tc>
        <w:tc>
          <w:tcPr>
            <w:tcW w:w="1132" w:type="dxa"/>
            <w:tcBorders/>
            <w:shd w:fill="auto" w:val="clear"/>
            <w:tcMar>
              <w:top w:w="0" w:type="dxa"/>
            </w:tcMar>
            <w:vAlign w:val="center"/>
          </w:tcPr>
          <w:p>
            <w:pPr>
              <w:pStyle w:val="TableContents"/>
              <w:jc w:val="center"/>
              <w:rPr/>
            </w:pPr>
            <w:r>
              <w:rPr/>
              <w:t>-0.08–-0.03</w:t>
            </w:r>
          </w:p>
        </w:tc>
        <w:tc>
          <w:tcPr>
            <w:tcW w:w="686" w:type="dxa"/>
            <w:tcBorders/>
            <w:shd w:fill="auto" w:val="clear"/>
            <w:tcMar>
              <w:top w:w="0" w:type="dxa"/>
            </w:tcMar>
            <w:vAlign w:val="center"/>
          </w:tcPr>
          <w:p>
            <w:pPr>
              <w:pStyle w:val="TableContents"/>
              <w:jc w:val="center"/>
              <w:rPr>
                <w:b/>
                <w:b/>
              </w:rPr>
            </w:pPr>
            <w:r>
              <w:rPr>
                <w:b/>
              </w:rPr>
              <w:t>&lt;.001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-0.02–-0.00</w:t>
            </w:r>
          </w:p>
        </w:tc>
        <w:tc>
          <w:tcPr>
            <w:tcW w:w="628" w:type="dxa"/>
            <w:tcBorders/>
            <w:shd w:fill="auto" w:val="clear"/>
            <w:tcMar>
              <w:top w:w="0" w:type="dxa"/>
            </w:tcMar>
            <w:vAlign w:val="center"/>
          </w:tcPr>
          <w:p>
            <w:pPr>
              <w:pStyle w:val="TableContents"/>
              <w:jc w:val="center"/>
              <w:rPr>
                <w:b/>
                <w:b/>
              </w:rPr>
            </w:pPr>
            <w:r>
              <w:rPr>
                <w:b/>
              </w:rPr>
              <w:t>&lt;.001</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-0.03</w:t>
            </w:r>
          </w:p>
        </w:tc>
        <w:tc>
          <w:tcPr>
            <w:tcW w:w="1133" w:type="dxa"/>
            <w:tcBorders/>
            <w:shd w:fill="auto" w:val="clear"/>
            <w:tcMar>
              <w:top w:w="0" w:type="dxa"/>
            </w:tcMar>
            <w:vAlign w:val="center"/>
          </w:tcPr>
          <w:p>
            <w:pPr>
              <w:pStyle w:val="TableContents"/>
              <w:jc w:val="center"/>
              <w:rPr/>
            </w:pPr>
            <w:r>
              <w:rPr/>
              <w:t>-0.13–0.06</w:t>
            </w:r>
          </w:p>
        </w:tc>
        <w:tc>
          <w:tcPr>
            <w:tcW w:w="629" w:type="dxa"/>
            <w:tcBorders/>
            <w:shd w:fill="auto" w:val="clear"/>
            <w:tcMar>
              <w:top w:w="0" w:type="dxa"/>
            </w:tcMar>
            <w:vAlign w:val="center"/>
          </w:tcPr>
          <w:p>
            <w:pPr>
              <w:pStyle w:val="TableContents"/>
              <w:jc w:val="center"/>
              <w:rPr/>
            </w:pPr>
            <w:r>
              <w:rPr/>
              <w:t>.499</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-0.08</w:t>
            </w:r>
          </w:p>
        </w:tc>
        <w:tc>
          <w:tcPr>
            <w:tcW w:w="1191" w:type="dxa"/>
            <w:tcBorders/>
            <w:shd w:fill="auto" w:val="clear"/>
            <w:tcMar>
              <w:top w:w="0" w:type="dxa"/>
            </w:tcMar>
            <w:vAlign w:val="center"/>
          </w:tcPr>
          <w:p>
            <w:pPr>
              <w:pStyle w:val="TableContents"/>
              <w:jc w:val="center"/>
              <w:rPr/>
            </w:pPr>
            <w:r>
              <w:rPr/>
              <w:t>-0.20–0.04</w:t>
            </w:r>
          </w:p>
        </w:tc>
        <w:tc>
          <w:tcPr>
            <w:tcW w:w="506" w:type="dxa"/>
            <w:tcBorders/>
            <w:shd w:fill="auto" w:val="clear"/>
            <w:tcMar>
              <w:top w:w="0" w:type="dxa"/>
            </w:tcMar>
            <w:vAlign w:val="center"/>
          </w:tcPr>
          <w:p>
            <w:pPr>
              <w:pStyle w:val="TableContents"/>
              <w:jc w:val="center"/>
              <w:rPr/>
            </w:pPr>
            <w:r>
              <w:rPr/>
              <w:t>.194</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-0.13</w:t>
            </w:r>
          </w:p>
        </w:tc>
        <w:tc>
          <w:tcPr>
            <w:tcW w:w="1135" w:type="dxa"/>
            <w:tcBorders/>
            <w:shd w:fill="auto" w:val="clear"/>
            <w:tcMar>
              <w:top w:w="0" w:type="dxa"/>
            </w:tcMar>
            <w:vAlign w:val="center"/>
          </w:tcPr>
          <w:p>
            <w:pPr>
              <w:pStyle w:val="TableContents"/>
              <w:jc w:val="center"/>
              <w:rPr/>
            </w:pPr>
            <w:r>
              <w:rPr/>
              <w:t>-0.21–-0.06</w:t>
            </w:r>
          </w:p>
        </w:tc>
        <w:tc>
          <w:tcPr>
            <w:tcW w:w="796" w:type="dxa"/>
            <w:tcBorders/>
            <w:shd w:fill="auto" w:val="clear"/>
            <w:tcMar>
              <w:top w:w="0" w:type="dxa"/>
            </w:tcMar>
            <w:vAlign w:val="center"/>
          </w:tcPr>
          <w:p>
            <w:pPr>
              <w:pStyle w:val="TableContents"/>
              <w:jc w:val="center"/>
              <w:rPr>
                <w:b/>
                <w:b/>
              </w:rPr>
            </w:pPr>
            <w:r>
              <w:rPr>
                <w:b/>
              </w:rPr>
              <w:t>&lt;.001</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-0.81</w:t>
            </w:r>
          </w:p>
        </w:tc>
        <w:tc>
          <w:tcPr>
            <w:tcW w:w="1303" w:type="dxa"/>
            <w:tcBorders/>
            <w:shd w:fill="auto" w:val="clear"/>
            <w:tcMar>
              <w:top w:w="0" w:type="dxa"/>
            </w:tcMar>
            <w:vAlign w:val="center"/>
          </w:tcPr>
          <w:p>
            <w:pPr>
              <w:pStyle w:val="TableContents"/>
              <w:jc w:val="center"/>
              <w:rPr/>
            </w:pPr>
            <w:r>
              <w:rPr/>
              <w:t>-1.48–-0.14</w:t>
            </w:r>
          </w:p>
        </w:tc>
        <w:tc>
          <w:tcPr>
            <w:tcW w:w="622" w:type="dxa"/>
            <w:tcBorders/>
            <w:shd w:fill="auto" w:val="clear"/>
            <w:tcMar>
              <w:top w:w="0" w:type="dxa"/>
            </w:tcMar>
            <w:vAlign w:val="center"/>
          </w:tcPr>
          <w:p>
            <w:pPr>
              <w:pStyle w:val="TableContents"/>
              <w:jc w:val="center"/>
              <w:rPr/>
            </w:pPr>
            <w:r>
              <w:rPr/>
              <w:t>.021</w:t>
            </w:r>
          </w:p>
        </w:tc>
      </w:tr>
    </w:tbl>
    <w:p>
      <w:pPr>
        <w:sectPr>
          <w:footerReference w:type="default" r:id="rId10"/>
          <w:type w:val="nextPage"/>
          <w:pgSz w:orient="landscape" w:w="21420" w:h="12240"/>
          <w:pgMar w:left="1134" w:right="1134" w:header="0" w:top="1134" w:footer="0" w:bottom="1134" w:gutter="0"/>
          <w:pgNumType w:fmt="decimal"/>
          <w:formProt w:val="false"/>
          <w:textDirection w:val="lrTb"/>
          <w:docGrid w:type="default" w:linePitch="100" w:charSpace="0"/>
        </w:sectPr>
      </w:pP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4777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6332220" cy="247777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Mice infected with a laboratory isolate of </w:t>
      </w:r>
      <w:r>
        <w:rPr>
          <w:rFonts w:ascii="Times New Roman" w:hAnsi="Times New Roman"/>
          <w:i/>
          <w:iCs/>
        </w:rPr>
        <w:t>E. falciformis</w:t>
      </w:r>
      <w:r>
        <w:rPr>
          <w:rFonts w:ascii="Times New Roman" w:hAnsi="Times New Roman"/>
          <w:i w:val="false"/>
          <w:iCs w:val="false"/>
        </w:rPr>
        <w:t xml:space="preserve"> showed </w:t>
      </w:r>
      <w:r>
        <w:rPr>
          <w:rFonts w:ascii="Times New Roman" w:hAnsi="Times New Roman"/>
        </w:rPr>
        <w:t xml:space="preserve">elevated gene expression in the spleen. Mice (NMRI) were infected with the wild derived isolate </w:t>
      </w:r>
      <w:r>
        <w:rPr>
          <w:rFonts w:ascii="Times New Roman" w:hAnsi="Times New Roman"/>
          <w:i/>
          <w:iCs/>
        </w:rPr>
        <w:t>E. falciformis</w:t>
      </w:r>
      <w:r>
        <w:rPr>
          <w:rFonts w:ascii="Times New Roman" w:hAnsi="Times New Roman"/>
        </w:rPr>
        <w:t xml:space="preserve"> Brandenburg88 (EfalW), the laboratory isolate </w:t>
      </w:r>
      <w:r>
        <w:rPr>
          <w:rFonts w:ascii="Times New Roman" w:hAnsi="Times New Roman"/>
          <w:i/>
          <w:iCs/>
        </w:rPr>
        <w:t>E. falciformis</w:t>
      </w:r>
      <w:r>
        <w:rPr>
          <w:rFonts w:ascii="Times New Roman" w:hAnsi="Times New Roman"/>
        </w:rPr>
        <w:t xml:space="preserve"> BayerHaberkorn1970 (EfalL), and the wild derived isolate </w:t>
      </w:r>
      <w:r>
        <w:rPr>
          <w:rFonts w:ascii="Times New Roman" w:hAnsi="Times New Roman"/>
          <w:i/>
          <w:iCs/>
        </w:rPr>
        <w:t>E. ferrisi</w:t>
      </w:r>
      <w:r>
        <w:rPr>
          <w:rFonts w:ascii="Times New Roman" w:hAnsi="Times New Roman"/>
        </w:rPr>
        <w:t xml:space="preserve"> Brandenburg64 (EferW). Only </w:t>
      </w:r>
      <w:r>
        <w:rPr>
          <w:rFonts w:ascii="Times New Roman" w:hAnsi="Times New Roman"/>
          <w:i/>
          <w:iCs/>
        </w:rPr>
        <w:t>E. falciformis</w:t>
      </w:r>
      <w:r>
        <w:rPr>
          <w:rFonts w:ascii="Times New Roman" w:hAnsi="Times New Roman"/>
        </w:rPr>
        <w:t xml:space="preserve"> BayerHaberkorn1970 induces mRNA expression in the spleen elevated over non-infected control and over mice infected with both wild derived isolates. Mice were sacrificed at different time points post infection (dpi) and mRNA expression levels were assessed using quantitative PCR.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Eimeria </w:t>
      </w:r>
      <w:r>
        <w:rPr>
          <w:rFonts w:ascii="Times New Roman" w:hAnsi="Times New Roman"/>
          <w:b/>
          <w:bCs/>
          <w:iCs/>
          <w:color w:val="000000"/>
          <w:sz w:val="26"/>
          <w:szCs w:val="26"/>
        </w:rPr>
        <w:t>isolates</w:t>
      </w:r>
    </w:p>
    <w:p>
      <w:pPr>
        <w:pStyle w:val="TextBody"/>
        <w:spacing w:lineRule="auto" w:line="360"/>
        <w:jc w:val="both"/>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2, Figure 5). </w:t>
      </w:r>
      <w:r>
        <w:rPr>
          <w:rFonts w:ascii="Times New Roman" w:hAnsi="Times New Roman"/>
        </w:rPr>
        <w:t xml:space="preserve">Uninfected mice did not show inflammatory cell infiltration, besides a few (n = 2) exceptions with very low numbers of infiltrating lymphocytes. </w:t>
      </w:r>
    </w:p>
    <w:p>
      <w:pPr>
        <w:pStyle w:val="TextBody"/>
        <w:spacing w:lineRule="auto" w:line="360"/>
        <w:jc w:val="both"/>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a relatively high score of inflammation was observed during pre-patency as early as at 5 dpi. The extent of immune infiltration remained high until 9 dpi and declined towards 11 dpi. In contrast, in caeca of mice infected with the wild derived isolate </w:t>
      </w:r>
      <w:r>
        <w:rPr>
          <w:rFonts w:ascii="Times New Roman" w:hAnsi="Times New Roman"/>
          <w:i/>
          <w:iCs/>
          <w:color w:val="000000"/>
        </w:rPr>
        <w:t>E. falciformis</w:t>
      </w:r>
      <w:r>
        <w:rPr>
          <w:rFonts w:ascii="Times New Roman" w:hAnsi="Times New Roman"/>
          <w:color w:val="000000"/>
        </w:rPr>
        <w:t xml:space="preserve"> Brandenburg 88, only low numbers of inflammatory cells were found during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strongest at 9 dpi in infections with this isolate before decreasing slightly towards 11 dpi. The quality of the infiltration was the same in infection with both wild derived and 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lymphocytes, plasma cells </w:t>
      </w:r>
      <w:r>
        <w:rPr>
          <w:rFonts w:ascii="Times New Roman" w:hAnsi="Times New Roman"/>
          <w:color w:val="2E2E2E"/>
        </w:rPr>
        <w:t>and the presence of eosinophils (Figure 5)</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Brandenburg64 a milder inflammatory response was detected on 3 dpi and 5 dpi, with the latter being relatively stronger (compared to other dpi of </w:t>
      </w:r>
      <w:r>
        <w:rPr>
          <w:rFonts w:ascii="Times New Roman" w:hAnsi="Times New Roman"/>
          <w:i/>
          <w:iCs/>
        </w:rPr>
        <w:t>E. ferrisi</w:t>
      </w:r>
      <w:r>
        <w:rPr>
          <w:rFonts w:ascii="Times New Roman" w:hAnsi="Times New Roman"/>
        </w:rPr>
        <w:t xml:space="preserve"> infection), </w:t>
      </w:r>
      <w:r>
        <w:rPr>
          <w:rFonts w:ascii="Times New Roman" w:hAnsi="Times New Roman"/>
          <w:color w:val="000000"/>
          <w:highlight w:val="white"/>
        </w:rPr>
        <w:t xml:space="preserve">followed by a subsequent decline towards 7 dpi. </w:t>
      </w:r>
    </w:p>
    <w:p>
      <w:pPr>
        <w:pStyle w:val="TextBody"/>
        <w:tabs>
          <w:tab w:val="left" w:pos="1080" w:leader="none"/>
        </w:tabs>
        <w:spacing w:lineRule="auto" w:line="360"/>
        <w:jc w:val="both"/>
        <w:rPr/>
      </w:pPr>
      <w:r>
        <w:rPr>
          <w:rFonts w:ascii="Times New Roman" w:hAnsi="Times New Roman"/>
          <w:color w:val="000000"/>
          <w:highlight w:val="white"/>
        </w:rPr>
        <w:t xml:space="preserve">We analysed the inflammation score of mice sacrificed at different dpi (Table 2) in mixed effect models using dpi as random factor.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 xml:space="preserv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p = 0.001;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Brandenburg88,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5" w:name="23017853"/>
      <w:bookmarkEnd w:id="15"/>
      <w:r>
        <w:rPr>
          <w:rFonts w:ascii="Times New Roman" w:hAnsi="Times New Roman"/>
          <w:b/>
          <w:bCs/>
          <w:color w:val="000000"/>
          <w:sz w:val="26"/>
          <w:szCs w:val="26"/>
        </w:rPr>
        <w:t xml:space="preserve">Table 2 - Score for the relative severity of leukocyte infiltration in histologic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noVBand="1" w:noHBand="0" w:lastColumn="0" w:firstColumn="1" w:lastRow="0" w:firstRow="1"/>
      </w:tblPr>
      <w:tblGrid>
        <w:gridCol w:w="3509"/>
        <w:gridCol w:w="1369"/>
        <w:gridCol w:w="1238"/>
        <w:gridCol w:w="1256"/>
        <w:gridCol w:w="1356"/>
        <w:gridCol w:w="1243"/>
      </w:tblGrid>
      <w:tr>
        <w:trPr/>
        <w:tc>
          <w:tcPr>
            <w:tcW w:w="3509"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pPr>
            <w:r>
              <w:rPr>
                <w:rFonts w:ascii="Times New Roman" w:hAnsi="Times New Roman"/>
                <w:sz w:val="26"/>
                <w:szCs w:val="26"/>
              </w:rPr>
              <w:t>Infection</w:t>
            </w:r>
          </w:p>
        </w:tc>
        <w:tc>
          <w:tcPr>
            <w:tcW w:w="6462"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3509"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7dpi</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w:t>
            </w:r>
            <w:r>
              <w:rPr>
                <w:rFonts w:ascii="Times New Roman" w:hAnsi="Times New Roman"/>
                <w:b/>
                <w:bCs/>
                <w:i w:val="false"/>
                <w:iCs w:val="false"/>
                <w:sz w:val="22"/>
                <w:szCs w:val="22"/>
                <w:highlight w:val="white"/>
              </w:rPr>
              <w:t>Brandenburg64</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falciformis</w:t>
            </w:r>
            <w:r>
              <w:rPr>
                <w:rFonts w:ascii="Times New Roman" w:hAnsi="Times New Roman"/>
                <w:b/>
                <w:bCs/>
                <w:sz w:val="22"/>
                <w:szCs w:val="22"/>
                <w:highlight w:val="white"/>
              </w:rPr>
              <w:t xml:space="preserve"> Brandnburg88</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rPr>
              <w:t>E. falciformis</w:t>
            </w:r>
            <w:r>
              <w:rPr>
                <w:rFonts w:ascii="Times New Roman" w:hAnsi="Times New Roman"/>
                <w:b/>
                <w:bCs/>
                <w:sz w:val="22"/>
                <w:szCs w:val="22"/>
              </w:rPr>
              <w:t xml:space="preserve"> BayerHaberkorn1970</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vertAlign w:val="superscript"/>
        </w:rPr>
        <w:t>1</w:t>
      </w:r>
      <w:r>
        <w:rPr>
          <w:rFonts w:ascii="Times New Roman" w:hAnsi="Times New Roman"/>
        </w:rPr>
        <w:t>Leukocyte infiltration was scored on a 0 to 3 scale, where 0 represent no infiltration and 1, 2, 3 represented low, moderate, or high infiltration, respectively. One section from each caecum sample was used for scoring. Three fields of view (at 200-time magnification) were evaluated for the amount of inflammatory infiltrates and a numerical score was assigned by averaging over these fields.</w:t>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978400" cy="1005840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tretch>
                      <a:fillRect/>
                    </a:stretch>
                  </pic:blipFill>
                  <pic:spPr bwMode="auto">
                    <a:xfrm>
                      <a:off x="0" y="0"/>
                      <a:ext cx="4978400" cy="10058400"/>
                    </a:xfrm>
                    <a:prstGeom prst="rect">
                      <a:avLst/>
                    </a:prstGeom>
                  </pic:spPr>
                </pic:pic>
              </a:graphicData>
            </a:graphic>
          </wp:anchor>
        </w:drawing>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b/>
          <w:bCs/>
        </w:rPr>
        <w:t>Figure 5</w:t>
      </w:r>
      <w:r>
        <w:rPr>
          <w:rFonts w:ascii="Times New Roman" w:hAnsi="Times New Roman"/>
        </w:rPr>
        <w:t xml:space="preserve"> - Immune cell infiltration and parasites in histological caecum sections obtained from mice infected with different </w:t>
      </w:r>
      <w:r>
        <w:rPr>
          <w:rFonts w:ascii="Times New Roman" w:hAnsi="Times New Roman"/>
          <w:i/>
          <w:iCs/>
        </w:rPr>
        <w:t>Eimeria</w:t>
      </w:r>
      <w:r>
        <w:rPr>
          <w:rFonts w:ascii="Times New Roman" w:hAnsi="Times New Roman"/>
        </w:rPr>
        <w:t xml:space="preserve"> isolates. NMRI mice were innoculated with 200 oocysts. a) Mice infected with the laboratory strain </w:t>
      </w:r>
      <w:r>
        <w:rPr>
          <w:rFonts w:ascii="Times New Roman" w:hAnsi="Times New Roman"/>
          <w:i/>
          <w:iCs/>
        </w:rPr>
        <w:t>E. falciformis</w:t>
      </w:r>
      <w:r>
        <w:rPr>
          <w:rFonts w:ascii="Times New Roman" w:hAnsi="Times New Roman"/>
        </w:rPr>
        <w:t xml:space="preserve"> BayerHaberkorn1970 show moderate inflammation (score 2, Table 2) at 3 dpi and strong inflammation b) at 5 dpi (score 3, Table 2). Infections with the wild derived isolate </w:t>
      </w:r>
      <w:r>
        <w:rPr>
          <w:rFonts w:ascii="Times New Roman" w:hAnsi="Times New Roman"/>
          <w:i/>
          <w:iCs/>
        </w:rPr>
        <w:t>E. ferrisi</w:t>
      </w:r>
      <w:r>
        <w:rPr>
          <w:rFonts w:ascii="Times New Roman" w:hAnsi="Times New Roman"/>
        </w:rPr>
        <w:t xml:space="preserve"> Brandenburg64 at c) 3 dpi and d) 5 dpi, show low numbers of infiltrating immune cells (score 1, Table 2). </w:t>
      </w:r>
      <w:r>
        <w:rPr/>
        <w:t xml:space="preserve">Evident inflammatory process (score 3= high, Table 2) is associated with appearance of sexual stages and developing oocysts (black arrows) of the </w:t>
      </w:r>
      <w:r>
        <w:rPr>
          <w:i/>
          <w:iCs/>
        </w:rPr>
        <w:t>E. falciformis</w:t>
      </w:r>
      <w:r>
        <w:rPr/>
        <w:t xml:space="preserve"> BayerHaberkorn1970 isolate at 7 dpi (e) and the wild derived isolate </w:t>
      </w:r>
      <w:r>
        <w:rPr>
          <w:i/>
          <w:iCs/>
        </w:rPr>
        <w:t>E. falciformis</w:t>
      </w:r>
      <w:r>
        <w:rPr/>
        <w:t xml:space="preserve"> Brandenburg88 at 9 dpi (f). The infiltrate consists mainly of lymphocytes and plasma cells. Note the high cellularity in the mucosa comprising lymphocytes in the lamina propria (LP) with fewer eosinophil and neutrophile in the LP and submucosa (SM). </w:t>
      </w:r>
      <w:r>
        <w:rPr>
          <w:rFonts w:ascii="Times New Roman" w:hAnsi="Times New Roman"/>
        </w:rPr>
        <w:t>Scale bar 50µm in a-d.</w:t>
      </w:r>
    </w:p>
    <w:p>
      <w:pPr>
        <w:pStyle w:val="TextBody"/>
        <w:spacing w:lineRule="auto" w:line="360"/>
        <w:jc w:val="both"/>
        <w:rPr/>
      </w:pPr>
      <w:r>
        <w:rPr/>
      </w:r>
      <w:r>
        <w:br w:type="page"/>
      </w:r>
    </w:p>
    <w:p>
      <w:pPr>
        <w:pStyle w:val="Normal"/>
        <w:tabs>
          <w:tab w:val="left" w:pos="6382" w:leader="none"/>
        </w:tabs>
        <w:spacing w:lineRule="auto" w:line="360" w:before="57" w:after="57"/>
        <w:jc w:val="both"/>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Emphasis"/>
          <w:rFonts w:ascii="Times New Roman" w:hAnsi="Times New Roman"/>
        </w:rPr>
        <w:t>Eimeria</w:t>
      </w:r>
      <w:r>
        <w:rPr>
          <w:rStyle w:val="Emphasis"/>
          <w:rFonts w:ascii="Times New Roman" w:hAnsi="Times New Roman"/>
          <w:i w:val="false"/>
          <w:iCs w:val="false"/>
        </w:rPr>
        <w:t xml:space="preserve"> spp., natural parasites of the house mouse.</w:t>
      </w:r>
      <w:r>
        <w:rPr>
          <w:rStyle w:val="Emphasis"/>
          <w:rFonts w:ascii="Times New Roman" w:hAnsi="Times New Roman"/>
          <w:i w:val="false"/>
          <w:iCs w:val="false"/>
          <w:color w:val="222222"/>
        </w:rPr>
        <w:t xml:space="preserve"> We evaluated whether the “laboratory isolate”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BayerHaberkorn1970 </w:t>
      </w:r>
      <w:bookmarkStart w:id="16" w:name="__UnoMark__10568_2905672918"/>
      <w:r>
        <w:rPr>
          <w:rStyle w:val="Emphasis"/>
          <w:rFonts w:ascii="Times New Roman" w:hAnsi="Times New Roman"/>
          <w:i w:val="false"/>
          <w:iCs w:val="false"/>
          <w:color w:val="222222"/>
        </w:rPr>
        <w:t>(Haberkorn, 1970)</w:t>
      </w:r>
      <w:bookmarkEnd w:id="16"/>
      <w:r>
        <w:rPr>
          <w:rStyle w:val="Emphasis"/>
          <w:rFonts w:ascii="Times New Roman" w:hAnsi="Times New Roman"/>
          <w:i w:val="false"/>
          <w:iCs w:val="false"/>
          <w:color w:val="222222"/>
        </w:rPr>
        <w:t xml:space="preserve"> differs from wild derived isolates of the same species and of </w:t>
      </w:r>
      <w:r>
        <w:rPr>
          <w:rStyle w:val="Emphasis"/>
          <w:rFonts w:ascii="Times New Roman" w:hAnsi="Times New Roman"/>
          <w:color w:val="222222"/>
        </w:rPr>
        <w:t xml:space="preserve">E. ferrisi </w:t>
      </w:r>
      <w:r>
        <w:rPr>
          <w:rStyle w:val="Emphasis"/>
          <w:rFonts w:ascii="Times New Roman" w:hAnsi="Times New Roman"/>
          <w:i w:val="false"/>
          <w:iCs w:val="false"/>
          <w:color w:val="222222"/>
        </w:rPr>
        <w:t>concerning infection dynamics, pathogenicity and the immune reactions it induces</w:t>
      </w:r>
      <w:r>
        <w:rPr>
          <w:rStyle w:val="Emphasis"/>
          <w:rFonts w:ascii="Times New Roman" w:hAnsi="Times New Roman"/>
          <w:i w:val="false"/>
          <w:iCs w:val="false"/>
        </w:rPr>
        <w:t xml:space="preserve">. We found not only expected differences in parasite life cycle progression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but also differences between the </w:t>
      </w:r>
      <w:r>
        <w:rPr>
          <w:rStyle w:val="Emphasis"/>
          <w:rFonts w:ascii="Times New Roman" w:hAnsi="Times New Roman"/>
          <w:i w:val="false"/>
          <w:iCs w:val="false"/>
          <w:color w:val="222222"/>
        </w:rPr>
        <w:t xml:space="preserve">wild derived and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newly 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BayerHaberkorn1970 and Brandenburg88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the BayerHaberkorn1970 isolate </w:t>
      </w:r>
      <w:bookmarkStart w:id="17" w:name="__UnoMark__10567_2905672918"/>
      <w:r>
        <w:rPr>
          <w:rStyle w:val="Emphasis"/>
          <w:rFonts w:ascii="Times New Roman" w:hAnsi="Times New Roman"/>
          <w:i w:val="false"/>
          <w:iCs w:val="false"/>
        </w:rPr>
        <w:t>(Ehret et al, 2017; Schmid et al, 2014, 2012; Stange et al, 2012)</w:t>
      </w:r>
      <w:bookmarkEnd w:id="17"/>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8" w:name="__UnoMark__10566_2905672918"/>
      <w:r>
        <w:rPr>
          <w:rStyle w:val="Emphasis"/>
          <w:rFonts w:ascii="Times New Roman" w:hAnsi="Times New Roman"/>
          <w:bCs/>
          <w:i w:val="false"/>
          <w:iCs w:val="false"/>
          <w:color w:val="000000"/>
        </w:rPr>
        <w:t>(Kasai et al, 1991; Mesfin et al, 1978)</w:t>
      </w:r>
      <w:bookmarkEnd w:id="18"/>
      <w:r>
        <w:rPr>
          <w:rStyle w:val="Emphasis"/>
          <w:rFonts w:ascii="Times New Roman" w:hAnsi="Times New Roman"/>
          <w:bCs/>
          <w:i w:val="false"/>
          <w:iCs w:val="false"/>
          <w:color w:val="000000"/>
        </w:rPr>
        <w:t xml:space="preserve">, but </w:t>
      </w:r>
      <w:bookmarkStart w:id="19" w:name="__UnoMark__10565_2905672918"/>
      <w:r>
        <w:rPr>
          <w:rStyle w:val="Emphasis"/>
          <w:rFonts w:ascii="Times New Roman" w:hAnsi="Times New Roman"/>
          <w:bCs/>
          <w:i w:val="false"/>
          <w:iCs w:val="false"/>
          <w:color w:val="000000"/>
        </w:rPr>
        <w:t>Mahrt and Shi (1988) and Schito et al. (1996)</w:t>
      </w:r>
      <w:bookmarkEnd w:id="19"/>
      <w:r>
        <w:rPr>
          <w:rStyle w:val="Emphasis"/>
          <w:rFonts w:ascii="Times New Roman" w:hAnsi="Times New Roman"/>
          <w:bCs/>
          <w:i w:val="false"/>
          <w:iCs w:val="false"/>
          <w:color w:val="000000"/>
        </w:rPr>
        <w:t xml:space="preserve"> demonstrated slightly longer pre-patent periods (7 or 8 dpi) also in other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infections. </w:t>
      </w:r>
    </w:p>
    <w:p>
      <w:pPr>
        <w:pStyle w:val="Normal"/>
        <w:spacing w:lineRule="auto" w:line="360"/>
        <w:jc w:val="both"/>
        <w:rPr/>
      </w:pPr>
      <w:r>
        <w:rPr>
          <w:rStyle w:val="Emphasis"/>
          <w:rFonts w:ascii="Times New Roman" w:hAnsi="Times New Roman"/>
          <w:i w:val="false"/>
          <w:iCs w:val="false"/>
          <w:color w:val="000000"/>
        </w:rPr>
        <w:t xml:space="preserve">The output of oocysts in our study (for all isolates) was similar or only slightly lower than </w:t>
      </w:r>
      <w:r>
        <w:rPr>
          <w:rStyle w:val="Emphasis"/>
          <w:rFonts w:ascii="Times New Roman" w:hAnsi="Times New Roman"/>
          <w:i w:val="false"/>
          <w:iCs w:val="false"/>
        </w:rPr>
        <w:t>in previous reports (Ehret et al, 2017; Schmid et al, 20</w:t>
      </w:r>
      <w:bookmarkStart w:id="20" w:name="__UnoMark__10564_2905672918"/>
      <w:bookmarkEnd w:id="20"/>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progression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21" w:name="__UnoMark__10563_2905672918"/>
      <w:r>
        <w:rPr>
          <w:rStyle w:val="Emphasis"/>
          <w:rFonts w:ascii="Times New Roman" w:hAnsi="Times New Roman"/>
          <w:bCs/>
          <w:i w:val="false"/>
          <w:iCs w:val="false"/>
          <w:color w:val="000000"/>
        </w:rPr>
        <w:t>(Ankrom et al, 1975)</w:t>
      </w:r>
      <w:bookmarkEnd w:id="21"/>
      <w:r>
        <w:rPr>
          <w:rFonts w:ascii="Times New Roman" w:hAnsi="Times New Roman"/>
          <w:bCs/>
          <w:color w:val="000000"/>
        </w:rPr>
        <w:t xml:space="preserve">.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short life cycle - especially when compared to </w:t>
      </w:r>
      <w:r>
        <w:rPr>
          <w:rFonts w:ascii="Times New Roman" w:hAnsi="Times New Roman"/>
          <w:bCs/>
          <w:i/>
          <w:iCs/>
          <w:color w:val="000000"/>
        </w:rPr>
        <w:t>E. falciformis -</w:t>
      </w:r>
      <w:r>
        <w:rPr>
          <w:rFonts w:ascii="Times New Roman" w:hAnsi="Times New Roman"/>
          <w:bCs/>
          <w:color w:val="000000"/>
        </w:rPr>
        <w:t xml:space="preserve"> with patency at 3 dpi. It is also noteworthy that the oocyst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It invites comparisons of host-parasite interactions with more pathogenic isolates and could be an attractive  alternative infection model with less impact on the host, i.e. allowing shorter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2" w:name="__UnoMark__10562_2905672918"/>
      <w:r>
        <w:rPr>
          <w:rStyle w:val="Emphasis"/>
          <w:rFonts w:ascii="Times New Roman" w:hAnsi="Times New Roman"/>
          <w:i w:val="false"/>
          <w:iCs w:val="false"/>
        </w:rPr>
        <w:t>(Ehret et al, 2017; Schmid et al, 2012; Stange et al, 2012)</w:t>
      </w:r>
      <w:bookmarkEnd w:id="22"/>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rPr>
        <w:t>Eimeria</w:t>
      </w:r>
      <w:r>
        <w:rPr>
          <w:rStyle w:val="Emphasis"/>
          <w:rFonts w:ascii="Times New Roman" w:hAnsi="Times New Roman"/>
          <w:i w:val="false"/>
          <w:iCs w:val="false"/>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(host-parasite ∆Ct).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was very similar throughout the infection. We can conclude that we report results from a strong infection relative to previous studies, which was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23" w:name="__UnoMark__10539_2905672918"/>
      <w:r>
        <w:rPr>
          <w:rStyle w:val="Emphasis"/>
          <w:rFonts w:ascii="Times New Roman" w:hAnsi="Times New Roman"/>
          <w:bCs/>
          <w:i w:val="false"/>
          <w:iCs w:val="false"/>
          <w:color w:val="000000"/>
        </w:rPr>
        <w:t>(McDonald and Ballingall, 1983; Shirley and Bellatti, 1988</w:t>
      </w:r>
      <w:bookmarkEnd w:id="23"/>
      <w:r>
        <w:rPr>
          <w:rStyle w:val="Emphasis"/>
          <w:rFonts w:ascii="Times New Roman" w:hAnsi="Times New Roman"/>
          <w:bCs/>
          <w:i w:val="false"/>
          <w:iCs w:val="false"/>
          <w:color w:val="000000"/>
        </w:rPr>
        <w:t xml:space="preserve">; </w:t>
      </w:r>
      <w:r>
        <w:rPr>
          <w:rFonts w:ascii="Times New Roman" w:hAnsi="Times New Roman"/>
        </w:rPr>
        <w:t>Shirley and Harvey, 2000; Shirley and Long, 19</w:t>
      </w:r>
      <w:bookmarkStart w:id="24" w:name="__UnoMark__10561_2905672918"/>
      <w:bookmarkEnd w:id="24"/>
      <w:r>
        <w:rPr>
          <w:rFonts w:ascii="Times New Roman" w:hAnsi="Times New Roman"/>
        </w:rPr>
        <w:t xml:space="preserve">90). </w:t>
      </w:r>
      <w:r>
        <w:rPr>
          <w:rFonts w:ascii="Times New Roman" w:hAnsi="Times New Roman"/>
          <w:i/>
          <w:iCs/>
        </w:rPr>
        <w:t>E. ferrisi</w:t>
      </w:r>
      <w:r>
        <w:rPr>
          <w:rFonts w:ascii="Times New Roman" w:hAnsi="Times New Roman"/>
        </w:rPr>
        <w:t xml:space="preserve">, in contrast, 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Short lifecycles of </w:t>
      </w:r>
      <w:r>
        <w:rPr>
          <w:rFonts w:ascii="Times New Roman" w:hAnsi="Times New Roman"/>
          <w:i/>
          <w:iCs/>
          <w:color w:val="000000"/>
        </w:rPr>
        <w:t>Eimeria</w:t>
      </w:r>
      <w:r>
        <w:rPr>
          <w:rFonts w:ascii="Times New Roman" w:hAnsi="Times New Roman"/>
          <w:color w:val="000000"/>
        </w:rPr>
        <w:t xml:space="preserve"> might be associated with tolerance by the host. </w:t>
      </w:r>
    </w:p>
    <w:p>
      <w:pPr>
        <w:pStyle w:val="Normal"/>
        <w:spacing w:lineRule="auto" w:line="360"/>
        <w:jc w:val="both"/>
        <w:rPr/>
      </w:pPr>
      <w:r>
        <w:rPr/>
      </w:r>
    </w:p>
    <w:p>
      <w:pPr>
        <w:pStyle w:val="Normal"/>
        <w:spacing w:lineRule="auto" w:line="360"/>
        <w:jc w:val="both"/>
        <w:rPr/>
      </w:pPr>
      <w:r>
        <w:rPr>
          <w:rStyle w:val="Emphasis"/>
          <w:rFonts w:ascii="Times New Roman" w:hAnsi="Times New Roman"/>
          <w:i w:val="false"/>
          <w:iCs w:val="false"/>
          <w:color w:val="222222"/>
        </w:rPr>
        <w:t>Integrating weight loss dynamics with parasite lifecycle progression and comparing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shows </w:t>
      </w:r>
      <w:r>
        <w:rPr>
          <w:rStyle w:val="Emphasis"/>
          <w:rFonts w:ascii="Times New Roman" w:hAnsi="Times New Roman"/>
          <w:i w:val="false"/>
          <w:iCs w:val="false"/>
          <w:color w:val="000000"/>
        </w:rPr>
        <w:t xml:space="preserve">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t>
      </w: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 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laboratory isolate and 7 dpi in the wild derived isolate. Such influx of immune cells into the tissue is an immuno-pathological reaction (Baskin et al, 2009; Brant et al, 2014; Stange et al, 2012</w:t>
      </w:r>
      <w:bookmarkStart w:id="25" w:name="__UnoMark__10558_2905672918"/>
      <w:bookmarkEnd w:id="25"/>
      <w:r>
        <w:rPr>
          <w:rStyle w:val="Emphasis"/>
          <w:rFonts w:ascii="Times New Roman" w:hAnsi="Times New Roman"/>
          <w:bCs/>
          <w:i w:val="false"/>
          <w:iCs w:val="false"/>
          <w:color w:val="000000"/>
        </w:rPr>
        <w:t>), which might cause damage to the host</w:t>
      </w:r>
      <w:r>
        <w:rPr>
          <w:rStyle w:val="Emphasis"/>
          <w:rFonts w:ascii="Times New Roman" w:hAnsi="Times New Roman"/>
          <w:i w:val="false"/>
          <w:iCs w:val="false"/>
          <w:color w:val="000000"/>
        </w:rPr>
        <w:t>. As an alternative or additional cause of pathogenicity s</w:t>
      </w:r>
      <w:r>
        <w:rPr>
          <w:rStyle w:val="Emphasis"/>
          <w:rFonts w:ascii="Times New Roman" w:hAnsi="Times New Roman"/>
          <w:i w:val="false"/>
          <w:iCs w:val="false"/>
          <w:color w:val="222222"/>
        </w:rPr>
        <w:t xml:space="preserve">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might directly cause an exhaust of epithelial cell which burst when oocysts are released into the lumen (Kasai et al, 1991</w:t>
      </w:r>
      <w:bookmarkStart w:id="26" w:name="__UnoMark__10559_2905672918"/>
      <w:bookmarkEnd w:id="26"/>
      <w:r>
        <w:rPr>
          <w:rStyle w:val="Emphasis"/>
          <w:rFonts w:ascii="Times New Roman" w:hAnsi="Times New Roman"/>
          <w:i w:val="false"/>
          <w:iCs w:val="false"/>
          <w:color w:val="222222"/>
        </w:rPr>
        <w:t xml:space="preserve">). </w:t>
      </w:r>
      <w:r>
        <w:rPr>
          <w:rStyle w:val="Emphasis"/>
          <w:rFonts w:ascii="Times New Roman" w:hAnsi="Times New Roman"/>
          <w:i w:val="false"/>
          <w:iCs w:val="false"/>
          <w:color w:val="000000"/>
        </w:rPr>
        <w:t xml:space="preserve">Infections with </w:t>
      </w:r>
      <w:r>
        <w:rPr>
          <w:rStyle w:val="Emphasis"/>
          <w:rFonts w:ascii="Times New Roman" w:hAnsi="Times New Roman"/>
          <w:color w:val="000000"/>
        </w:rPr>
        <w:t xml:space="preserve">E. ferrisi </w:t>
      </w:r>
      <w:r>
        <w:rPr>
          <w:rStyle w:val="Emphasis"/>
          <w:rFonts w:ascii="Times New Roman" w:hAnsi="Times New Roman"/>
          <w:i w:val="false"/>
          <w:iCs w:val="false"/>
          <w:color w:val="000000"/>
        </w:rPr>
        <w:t>were characterised by yet lower immune cell infiltration 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coincided with the peak abundance of endogenous stages at 3 dpi (Figure 2), indicating that parasite proliferation causes disease in host infected with this species. </w:t>
      </w:r>
    </w:p>
    <w:p>
      <w:pPr>
        <w:pStyle w:val="Normal"/>
        <w:spacing w:lineRule="auto" w:line="360"/>
        <w:jc w:val="both"/>
        <w:rPr/>
      </w:pPr>
      <w:r>
        <w:rPr>
          <w:rFonts w:ascii="Times New Roman" w:hAnsi="Times New Roman"/>
          <w:color w:val="000000"/>
        </w:rPr>
        <w:t xml:space="preserve">Inflammatory 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within </w:t>
      </w:r>
      <w:r>
        <w:rPr>
          <w:rFonts w:ascii="Times New Roman" w:hAnsi="Times New Roman"/>
          <w:color w:val="000000"/>
        </w:rPr>
        <w:t xml:space="preserve">the mucosa during experimental infections with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27" w:name="__UnoMark__10557_2905672918"/>
      <w:r>
        <w:rPr>
          <w:rFonts w:ascii="Times New Roman" w:hAnsi="Times New Roman"/>
          <w:color w:val="000000"/>
        </w:rPr>
        <w:t>(Gadde et al, 2009; Laurent et al, 2001; Mesfin et al, 1978; Muñoz-Caro et al, 2016; Rose et al, 1992)</w:t>
      </w:r>
      <w:bookmarkEnd w:id="27"/>
      <w:r>
        <w:rPr>
          <w:rFonts w:ascii="Times New Roman" w:hAnsi="Times New Roman"/>
          <w:color w:val="000000"/>
        </w:rPr>
        <w:t xml:space="preserve">.  </w:t>
      </w:r>
      <w:bookmarkStart w:id="28" w:name="__UnoMark__10555_2905672918"/>
      <w:r>
        <w:rPr>
          <w:rStyle w:val="Emphasis"/>
          <w:rFonts w:ascii="Times New Roman" w:hAnsi="Times New Roman"/>
          <w:i w:val="false"/>
          <w:iCs w:val="false"/>
          <w:color w:val="000000"/>
        </w:rPr>
        <w:t>Schmid et al. (2014</w:t>
      </w:r>
      <w:bookmarkEnd w:id="28"/>
      <w:r>
        <w:rPr>
          <w:rStyle w:val="Emphasis"/>
          <w:rFonts w:ascii="Times New Roman" w:hAnsi="Times New Roman"/>
          <w:i w:val="false"/>
          <w:iCs w:val="false"/>
          <w:color w:val="000000"/>
        </w:rPr>
        <w:t xml:space="preserve">) demonstrated by immunohistochemical analyses that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 xml:space="preserve">infection in the caecum of NMRI mice leads to tissue infiltration with lymphocytes and macrophages. These changes are accompanied by elevated expression of </w:t>
      </w:r>
      <w:r>
        <w:rPr>
          <w:rStyle w:val="Emphasis"/>
          <w:rFonts w:ascii="Times New Roman" w:hAnsi="Times New Roman"/>
          <w:b w:val="false"/>
          <w:bCs w:val="false"/>
          <w:i/>
          <w:iCs/>
          <w:color w:val="000000"/>
        </w:rPr>
        <w:t>Inf</w:t>
      </w:r>
      <w:r>
        <w:rPr>
          <w:rStyle w:val="Emphasis"/>
          <w:rFonts w:ascii="Times New Roman" w:hAnsi="Times New Roman"/>
          <w:b w:val="false"/>
          <w:bCs w:val="false"/>
          <w:i/>
          <w:iCs/>
          <w:color w:val="000000"/>
          <w:highlight w:val="white"/>
        </w:rPr>
        <w:t>γ</w:t>
      </w:r>
      <w:r>
        <w:rPr>
          <w:rStyle w:val="Emphasis"/>
          <w:rFonts w:ascii="Times New Roman" w:hAnsi="Times New Roman"/>
          <w:i w:val="false"/>
          <w:iCs w:val="false"/>
          <w:color w:val="000000"/>
          <w:highlight w:val="white"/>
        </w:rPr>
        <w:t xml:space="preserve"> </w:t>
      </w:r>
      <w:r>
        <w:rPr>
          <w:rStyle w:val="Emphasis"/>
          <w:rFonts w:ascii="Times New Roman" w:hAnsi="Times New Roman"/>
          <w:i w:val="false"/>
          <w:iCs w:val="false"/>
          <w:color w:val="000000"/>
        </w:rPr>
        <w:t xml:space="preserve">and the production of the major chemokines CxC subfamily at the site of infection. Inflammatory infiltrates were also slightly more prominent in our experiment in the laboratory isolate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BayerHaberkorn1970</w:t>
      </w:r>
      <w:r>
        <w:rPr>
          <w:rStyle w:val="Emphasis"/>
          <w:rFonts w:ascii="Times New Roman" w:hAnsi="Times New Roman"/>
          <w:color w:val="000000"/>
        </w:rPr>
        <w:t xml:space="preserve"> </w:t>
      </w:r>
      <w:r>
        <w:rPr>
          <w:rStyle w:val="Emphasis"/>
          <w:rFonts w:ascii="Times New Roman" w:hAnsi="Times New Roman"/>
          <w:i w:val="false"/>
          <w:iCs w:val="false"/>
          <w:color w:val="000000"/>
        </w:rPr>
        <w:t xml:space="preserve">than in the closely related wild derived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Brandenburg88 isolate. We thus asked whether systemic immune response differs between infections.</w:t>
      </w:r>
    </w:p>
    <w:p>
      <w:pPr>
        <w:pStyle w:val="Normal"/>
        <w:spacing w:lineRule="auto" w:line="360"/>
        <w:jc w:val="both"/>
        <w:rPr/>
      </w:pPr>
      <w:r>
        <w:rPr>
          <w:rFonts w:ascii="Times New Roman" w:hAnsi="Times New Roman"/>
          <w:color w:val="000000"/>
          <w:highlight w:val="white"/>
        </w:rPr>
        <w:t xml:space="preserve">Based on mRNA expression in the spleen, we studied systemic immune response. In spleens of mice infected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we observed elevated mRNA levels of the </w:t>
      </w:r>
      <w:r>
        <w:rPr>
          <w:rFonts w:ascii="Times New Roman" w:hAnsi="Times New Roman"/>
          <w:highlight w:val="white"/>
        </w:rPr>
        <w:t xml:space="preserve">pro-inflammatory Th1 cytokine </w:t>
      </w:r>
      <w:r>
        <w:rPr>
          <w:rFonts w:ascii="Times New Roman" w:hAnsi="Times New Roman"/>
          <w:i/>
          <w:iCs/>
          <w:highlight w:val="white"/>
        </w:rPr>
        <w:t>Il12</w:t>
      </w:r>
      <w:r>
        <w:rPr>
          <w:rFonts w:ascii="Times New Roman" w:hAnsi="Times New Roman"/>
          <w:highlight w:val="white"/>
        </w:rPr>
        <w:t xml:space="preserve">. </w:t>
      </w:r>
      <w:r>
        <w:rPr>
          <w:rStyle w:val="Emphasis"/>
          <w:rFonts w:ascii="Times New Roman" w:hAnsi="Times New Roman"/>
          <w:bCs/>
          <w:i w:val="false"/>
          <w:iCs w:val="false"/>
          <w:color w:val="000000"/>
        </w:rPr>
        <w:t xml:space="preserve">The </w:t>
      </w:r>
      <w:r>
        <w:rPr>
          <w:rStyle w:val="Emphasis"/>
          <w:rFonts w:ascii="Times New Roman" w:hAnsi="Times New Roman"/>
          <w:bCs/>
          <w:i/>
          <w:iCs/>
          <w:color w:val="000000"/>
        </w:rPr>
        <w:t>Il12</w:t>
      </w:r>
      <w:r>
        <w:rPr>
          <w:rStyle w:val="Emphasis"/>
          <w:rFonts w:ascii="Times New Roman" w:hAnsi="Times New Roman"/>
          <w:bCs/>
          <w:i w:val="false"/>
          <w:iCs w:val="false"/>
          <w:color w:val="000000"/>
        </w:rPr>
        <w:t>/</w:t>
      </w:r>
      <w:r>
        <w:rPr>
          <w:rStyle w:val="Emphasis"/>
          <w:rFonts w:ascii="Times New Roman" w:hAnsi="Times New Roman"/>
          <w:bCs/>
          <w:i/>
          <w:iCs/>
          <w:color w:val="000000"/>
        </w:rPr>
        <w:t>Ifnγ</w:t>
      </w:r>
      <w:r>
        <w:rPr>
          <w:rStyle w:val="Emphasis"/>
          <w:rFonts w:ascii="Times New Roman" w:hAnsi="Times New Roman"/>
          <w:bCs/>
          <w:i w:val="false"/>
          <w:iCs w:val="false"/>
          <w:color w:val="000000"/>
        </w:rPr>
        <w:t xml:space="preserve">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Lowenthal et al, 1997; Michailowsky et al, 2001; Ovington and Smith, 1992; Rose et al, 19</w:t>
      </w:r>
      <w:bookmarkStart w:id="29" w:name="__UnoMark__10548_2905672918"/>
      <w:bookmarkEnd w:id="29"/>
      <w:r>
        <w:rPr>
          <w:rStyle w:val="Emphasis"/>
          <w:rFonts w:ascii="Times New Roman" w:hAnsi="Times New Roman"/>
          <w:bCs/>
          <w:i w:val="false"/>
          <w:iCs w:val="false"/>
          <w:color w:val="000000"/>
        </w:rPr>
        <w:t xml:space="preserve">92; </w:t>
      </w:r>
      <w:r>
        <w:rPr>
          <w:rStyle w:val="Emphasis"/>
          <w:rFonts w:ascii="Times New Roman" w:hAnsi="Times New Roman"/>
          <w:bCs/>
          <w:i w:val="false"/>
          <w:iCs w:val="false"/>
          <w:color w:val="222222"/>
        </w:rPr>
        <w:t>Schmid et al, 2014; Ehret et al, 2017</w:t>
      </w:r>
      <w:r>
        <w:rPr>
          <w:rStyle w:val="Emphasis"/>
          <w:rFonts w:ascii="Times New Roman" w:hAnsi="Times New Roman"/>
          <w:bCs/>
          <w:i w:val="false"/>
          <w:iCs w:val="false"/>
          <w:color w:val="000000"/>
        </w:rPr>
        <w:t xml:space="preserve">). We did not detect </w:t>
      </w:r>
      <w:r>
        <w:rPr>
          <w:rStyle w:val="Emphasis"/>
          <w:rFonts w:ascii="Times New Roman" w:hAnsi="Times New Roman"/>
          <w:bCs/>
          <w:i/>
          <w:iCs/>
          <w:color w:val="000000"/>
          <w:highlight w:val="white"/>
        </w:rPr>
        <w:t>Ifnγ</w:t>
      </w:r>
      <w:r>
        <w:rPr>
          <w:rStyle w:val="Emphasis"/>
          <w:rFonts w:ascii="Times New Roman" w:hAnsi="Times New Roman"/>
          <w:bCs/>
          <w:i w:val="false"/>
          <w:iCs w:val="false"/>
          <w:color w:val="000000"/>
          <w:highlight w:val="white"/>
        </w:rPr>
        <w:t xml:space="preserve"> significantly unregulated itself, as an elevated expression was only observed early after infection (at 3 dpi). </w:t>
      </w:r>
      <w:r>
        <w:rPr>
          <w:rStyle w:val="Emphasis"/>
          <w:rFonts w:ascii="Times New Roman" w:hAnsi="Times New Roman"/>
          <w:bCs/>
          <w:i w:val="false"/>
          <w:iCs w:val="false"/>
          <w:color w:val="000000"/>
        </w:rPr>
        <w:t xml:space="preserve">We, however, observed significantly increased expression of the anti-inflammatory Th1 cytokines </w:t>
      </w:r>
      <w:r>
        <w:rPr>
          <w:rStyle w:val="Emphasis"/>
          <w:rFonts w:ascii="Times New Roman" w:hAnsi="Times New Roman"/>
          <w:bCs/>
          <w:i/>
          <w:iCs/>
          <w:color w:val="000000"/>
        </w:rPr>
        <w:t>Il10</w:t>
      </w:r>
      <w:r>
        <w:rPr>
          <w:rStyle w:val="Emphasis"/>
          <w:rFonts w:ascii="Times New Roman" w:hAnsi="Times New Roman"/>
          <w:bCs/>
          <w:i w:val="false"/>
          <w:iCs w:val="false"/>
          <w:color w:val="000000"/>
        </w:rPr>
        <w:t xml:space="preserve"> and </w:t>
      </w:r>
      <w:r>
        <w:rPr>
          <w:rStyle w:val="Emphasis"/>
          <w:rFonts w:ascii="Times New Roman" w:hAnsi="Times New Roman"/>
          <w:bCs/>
          <w:i/>
          <w:iCs/>
          <w:color w:val="000000"/>
        </w:rPr>
        <w:t>Tgfβ</w:t>
      </w:r>
      <w:r>
        <w:rPr>
          <w:rStyle w:val="Emphasis"/>
          <w:rFonts w:ascii="Times New Roman" w:hAnsi="Times New Roman"/>
          <w:bCs/>
          <w:i w:val="false"/>
          <w:iCs w:val="false"/>
          <w:color w:val="000000"/>
        </w:rPr>
        <w:t xml:space="preserve">. IL10 can counteract IFNγ and is also expressed in the spleen of </w:t>
      </w:r>
      <w:r>
        <w:rPr>
          <w:rStyle w:val="Emphasis"/>
          <w:rFonts w:ascii="Times New Roman" w:hAnsi="Times New Roman"/>
          <w:bCs/>
          <w:color w:val="000000"/>
        </w:rPr>
        <w:t>Eimeria</w:t>
      </w:r>
      <w:r>
        <w:rPr>
          <w:rStyle w:val="Emphasis"/>
          <w:rFonts w:ascii="Times New Roman" w:hAnsi="Times New Roman"/>
          <w:bCs/>
          <w:i w:val="false"/>
          <w:iCs w:val="false"/>
          <w:color w:val="000000"/>
        </w:rPr>
        <w:t>-infected chicken (Rothwell et al, 2000</w:t>
      </w:r>
      <w:bookmarkStart w:id="30" w:name="__UnoMark__10547_2905672918"/>
      <w:bookmarkEnd w:id="30"/>
      <w:r>
        <w:rPr>
          <w:rStyle w:val="Emphasis"/>
          <w:rFonts w:ascii="Times New Roman" w:hAnsi="Times New Roman"/>
          <w:bCs/>
          <w:i w:val="false"/>
          <w:iCs w:val="false"/>
          <w:color w:val="000000"/>
        </w:rPr>
        <w:t>). Il10 expression in the spleen could be indicative for an attempt to balance inflammation during infection. A failure to establish this inflammatory balance can lead to pronounced inflammation and immunopathology (Inagaki-Ohara et al, 2006</w:t>
      </w:r>
      <w:bookmarkStart w:id="31" w:name="__UnoMark__10546_2905672918"/>
      <w:bookmarkEnd w:id="31"/>
      <w:r>
        <w:rPr>
          <w:rStyle w:val="Emphasis"/>
          <w:rFonts w:ascii="Times New Roman" w:hAnsi="Times New Roman"/>
          <w:bCs/>
          <w:i w:val="false"/>
          <w:iCs w:val="false"/>
          <w:color w:val="000000"/>
        </w:rPr>
        <w:t xml:space="preserve">). In addition, we observed significantly elevated mRNA expression of </w:t>
      </w:r>
      <w:r>
        <w:rPr>
          <w:rStyle w:val="Emphasis"/>
          <w:rFonts w:ascii="Times New Roman" w:hAnsi="Times New Roman"/>
          <w:bCs/>
          <w:i/>
          <w:iCs/>
          <w:color w:val="000000"/>
        </w:rPr>
        <w:t>Stat6</w:t>
      </w:r>
      <w:r>
        <w:rPr>
          <w:rStyle w:val="Emphasis"/>
          <w:rFonts w:ascii="Times New Roman" w:hAnsi="Times New Roman"/>
          <w:bCs/>
          <w:i w:val="false"/>
          <w:iCs w:val="false"/>
          <w:color w:val="000000"/>
        </w:rPr>
        <w:t xml:space="preserve"> and the major regulatory chemokine </w:t>
      </w:r>
      <w:r>
        <w:rPr>
          <w:rStyle w:val="Emphasis"/>
          <w:rFonts w:ascii="Times New Roman" w:hAnsi="Times New Roman"/>
          <w:bCs/>
          <w:i/>
          <w:iCs/>
          <w:color w:val="000000"/>
        </w:rPr>
        <w:t>CxCL9</w:t>
      </w:r>
      <w:r>
        <w:rPr>
          <w:rStyle w:val="Emphasis"/>
          <w:rFonts w:ascii="Times New Roman" w:hAnsi="Times New Roman"/>
          <w:bCs/>
          <w:i w:val="false"/>
          <w:iCs w:val="false"/>
          <w:color w:val="000000"/>
        </w:rPr>
        <w:t>, which can be induced downstream of INFγ (Djamiatun et al, 2017; Hirako et al, 2016; Schmid et al, 2014</w:t>
      </w:r>
      <w:bookmarkStart w:id="32" w:name="__UnoMark__10542_2905672918"/>
      <w:bookmarkEnd w:id="32"/>
      <w:r>
        <w:rPr>
          <w:rStyle w:val="Emphasis"/>
          <w:rFonts w:ascii="Times New Roman" w:hAnsi="Times New Roman"/>
          <w:bCs/>
          <w:i w:val="false"/>
          <w:iCs w:val="false"/>
          <w:color w:val="000000"/>
        </w:rPr>
        <w:t>) and are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effector T lymphocytes in the spleen as well as in non-lymphoid organs such as intestine. This has been shown in disease models including</w:t>
      </w:r>
      <w:r>
        <w:rPr>
          <w:rStyle w:val="Emphasis"/>
          <w:rFonts w:ascii="Times New Roman" w:hAnsi="Times New Roman"/>
          <w:bCs/>
          <w:color w:val="000000"/>
        </w:rPr>
        <w:t xml:space="preserve"> E. falciformis</w:t>
      </w:r>
      <w:r>
        <w:rPr>
          <w:rStyle w:val="Emphasis"/>
          <w:rFonts w:ascii="Times New Roman" w:hAnsi="Times New Roman"/>
          <w:bCs/>
          <w:i w:val="false"/>
          <w:iCs w:val="false"/>
          <w:color w:val="000000"/>
        </w:rPr>
        <w:t xml:space="preserve"> infections (Hardison et al, 2006; Khan et al, 2001; Schmid et al, 2014</w:t>
      </w:r>
      <w:bookmarkStart w:id="33" w:name="__UnoMark__10541_2905672918"/>
      <w:bookmarkEnd w:id="33"/>
      <w:r>
        <w:rPr>
          <w:rStyle w:val="Emphasis"/>
          <w:rFonts w:ascii="Times New Roman" w:hAnsi="Times New Roman"/>
          <w:bCs/>
          <w:i w:val="false"/>
          <w:iCs w:val="false"/>
          <w:color w:val="000000"/>
        </w:rPr>
        <w:t xml:space="preserve">). </w:t>
      </w:r>
    </w:p>
    <w:p>
      <w:pPr>
        <w:pStyle w:val="Normal"/>
        <w:spacing w:lineRule="auto" w:line="360"/>
        <w:jc w:val="both"/>
        <w:rPr/>
      </w:pPr>
      <w:r>
        <w:rPr>
          <w:rFonts w:ascii="Times New Roman" w:hAnsi="Times New Roman"/>
          <w:color w:val="000000"/>
        </w:rPr>
        <w:t xml:space="preserve">Only a few studies have assessed systemic immune response via expression of cytokines in the spleen during </w:t>
      </w:r>
      <w:r>
        <w:rPr>
          <w:rFonts w:ascii="Times New Roman" w:hAnsi="Times New Roman"/>
          <w:i/>
          <w:iCs/>
          <w:color w:val="000000"/>
        </w:rPr>
        <w:t>Eimeria</w:t>
      </w:r>
      <w:r>
        <w:rPr>
          <w:rFonts w:ascii="Times New Roman" w:hAnsi="Times New Roman"/>
          <w:color w:val="000000"/>
        </w:rPr>
        <w:t xml:space="preserve"> infections. </w:t>
      </w:r>
      <w:bookmarkStart w:id="34" w:name="__UnoMark__10572_2905672918"/>
      <w:r>
        <w:rPr>
          <w:rFonts w:ascii="Times New Roman" w:hAnsi="Times New Roman"/>
          <w:color w:val="000000"/>
        </w:rPr>
        <w:t>Steinfelder et al. (2005)</w:t>
      </w:r>
      <w:bookmarkEnd w:id="34"/>
      <w:r>
        <w:rPr>
          <w:rFonts w:ascii="Times New Roman" w:hAnsi="Times New Roman"/>
          <w:color w:val="000000"/>
        </w:rPr>
        <w:t xml:space="preserve"> showed that T-cell proliferated in mesenteric lymph nodes of mice during a drug abbreviated infection with </w:t>
      </w:r>
      <w:r>
        <w:rPr>
          <w:rFonts w:ascii="Times New Roman" w:hAnsi="Times New Roman"/>
          <w:i/>
          <w:iCs/>
          <w:color w:val="000000"/>
        </w:rPr>
        <w:t xml:space="preserve">E. falciformis. </w:t>
      </w:r>
      <w:r>
        <w:rPr>
          <w:rFonts w:ascii="Times New Roman" w:hAnsi="Times New Roman"/>
          <w:color w:val="000000"/>
        </w:rPr>
        <w:t xml:space="preserve">Nevertheless splenocytes released IFNγ and IL4 and likely contribute to the development of a systemic humoral response. In strongly infected mice this could lead to a systematic immunopathology.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antigen has been shown to induce IFN release of splenocytes in immunized chicken</w:t>
      </w:r>
      <w:r>
        <w:rPr>
          <w:rFonts w:ascii="Times New Roman" w:hAnsi="Times New Roman"/>
          <w:color w:val="000000"/>
          <w:highlight w:val="white"/>
        </w:rPr>
        <w:t xml:space="preserve">s </w:t>
      </w:r>
      <w:r>
        <w:rPr>
          <w:rStyle w:val="Emphasis"/>
          <w:rFonts w:ascii="Times New Roman" w:hAnsi="Times New Roman"/>
          <w:i w:val="false"/>
          <w:iCs w:val="false"/>
          <w:color w:val="000000"/>
          <w:highlight w:val="white"/>
        </w:rPr>
        <w:t xml:space="preserve">(Prowse &amp; Pallister, 1989). </w:t>
      </w:r>
      <w:r>
        <w:rPr>
          <w:rStyle w:val="Emphasis"/>
          <w:rFonts w:ascii="Times New Roman" w:hAnsi="Times New Roman"/>
          <w:i w:val="false"/>
          <w:iCs w:val="false"/>
          <w:color w:val="000000"/>
        </w:rPr>
        <w:t xml:space="preserve">Similarly, </w:t>
      </w:r>
      <w:bookmarkStart w:id="35" w:name="__UnoMark__10571_2905672918"/>
      <w:bookmarkEnd w:id="35"/>
      <w:r>
        <w:rPr>
          <w:rStyle w:val="Emphasis"/>
          <w:rFonts w:ascii="Times New Roman" w:hAnsi="Times New Roman"/>
          <w:i w:val="false"/>
          <w:iCs w:val="false"/>
          <w:color w:val="000000"/>
        </w:rPr>
        <w:t xml:space="preserve">Byrnes et al, 1993 illustrated that splenic macrophages can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xml:space="preserve">. The expression of Toll-like receptors (TLR3, TLR15), signal adaptor (MyD88) </w:t>
      </w:r>
      <w:bookmarkStart w:id="36" w:name="__UnoMark__10570_2905672918"/>
      <w:bookmarkEnd w:id="36"/>
      <w:r>
        <w:rPr>
          <w:rStyle w:val="Emphasis"/>
          <w:rFonts w:ascii="Times New Roman" w:hAnsi="Times New Roman"/>
          <w:i w:val="false"/>
          <w:iCs w:val="false"/>
          <w:color w:val="000000"/>
        </w:rPr>
        <w:t>(Zhou et al, 2014) and IFNy (Rot</w:t>
      </w:r>
      <w:bookmarkStart w:id="37" w:name="__UnoMark__10569_2905672918"/>
      <w:bookmarkEnd w:id="37"/>
      <w:r>
        <w:rPr>
          <w:rStyle w:val="Emphasis"/>
          <w:rFonts w:ascii="Times New Roman" w:hAnsi="Times New Roman"/>
          <w:i w:val="false"/>
          <w:iCs w:val="false"/>
          <w:color w:val="000000"/>
        </w:rPr>
        <w:t xml:space="preserve">hwell et al,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Taken together our data indicate a systemic immune response against </w:t>
      </w:r>
      <w:r>
        <w:rPr>
          <w:rFonts w:ascii="Times New Roman" w:hAnsi="Times New Roman"/>
          <w:i/>
          <w:iCs/>
          <w:color w:val="000000"/>
        </w:rPr>
        <w:t>E. falciformis</w:t>
      </w:r>
      <w:r>
        <w:rPr>
          <w:rFonts w:ascii="Times New Roman" w:hAnsi="Times New Roman"/>
          <w:color w:val="000000"/>
        </w:rPr>
        <w:t xml:space="preserve"> BayerHaberkorn detectable in the spleen based on elevated mRNA levels of cytokines previously associated with in </w:t>
      </w:r>
      <w:r>
        <w:rPr>
          <w:rFonts w:ascii="Times New Roman" w:hAnsi="Times New Roman"/>
          <w:i/>
          <w:iCs/>
          <w:color w:val="000000"/>
        </w:rPr>
        <w:t>Eimeria</w:t>
      </w:r>
      <w:r>
        <w:rPr>
          <w:rFonts w:ascii="Times New Roman" w:hAnsi="Times New Roman"/>
          <w:color w:val="000000"/>
        </w:rPr>
        <w:t xml:space="preserve"> infections.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rPr>
        <w:t xml:space="preserve">Infection with the laboratory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lead to significantly higher e</w:t>
      </w:r>
      <w:r>
        <w:rPr>
          <w:rStyle w:val="Emphasis"/>
          <w:rFonts w:ascii="Times New Roman" w:hAnsi="Times New Roman"/>
          <w:i w:val="false"/>
          <w:iCs w:val="false"/>
          <w:color w:val="000000"/>
        </w:rPr>
        <w:t xml:space="preserve">xpression levels of </w:t>
      </w:r>
      <w:r>
        <w:rPr>
          <w:rStyle w:val="Emphasis"/>
          <w:rFonts w:ascii="Times New Roman" w:hAnsi="Times New Roman"/>
          <w:bCs/>
          <w:i w:val="false"/>
          <w:iCs w:val="false"/>
          <w:color w:val="000000"/>
        </w:rPr>
        <w:t xml:space="preserve">cytokines in the spleen compared to both wild-derived isolates. </w:t>
      </w:r>
      <w:r>
        <w:rPr>
          <w:rStyle w:val="Emphasis"/>
          <w:rFonts w:ascii="Times New Roman" w:hAnsi="Times New Roman"/>
          <w:bCs/>
          <w:i w:val="false"/>
          <w:iCs w:val="false"/>
        </w:rPr>
        <w:t>In contrast, the wild derived isolates of</w:t>
      </w:r>
      <w:r>
        <w:rPr>
          <w:rStyle w:val="Emphasis"/>
          <w:rFonts w:ascii="Times New Roman" w:hAnsi="Times New Roman"/>
          <w:bCs/>
          <w:i w:val="false"/>
          <w:iCs w:val="false"/>
          <w:color w:val="000000"/>
        </w:rPr>
        <w:t xml:space="preserv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did not induce significant expression changes over control levels in our mixed effect model analysis. </w:t>
      </w:r>
    </w:p>
    <w:p>
      <w:pPr>
        <w:pStyle w:val="Normal"/>
        <w:spacing w:lineRule="auto" w:line="360"/>
        <w:jc w:val="both"/>
        <w:rPr/>
      </w:pPr>
      <w:r>
        <w:rPr>
          <w:rFonts w:ascii="Times New Roman" w:hAnsi="Times New Roman"/>
          <w:color w:val="000000"/>
          <w:highlight w:val="white"/>
        </w:rPr>
        <w:t xml:space="preserve">In spite of the overall non-significant changes, stints of elevated mRNA expression (failing to be significant in an analysis over different time points) seem plausible for </w:t>
      </w:r>
      <w:r>
        <w:rPr>
          <w:rFonts w:ascii="Times New Roman" w:hAnsi="Times New Roman"/>
          <w:i/>
          <w:iCs/>
          <w:color w:val="000000"/>
          <w:highlight w:val="white"/>
        </w:rPr>
        <w:t>Il6</w:t>
      </w:r>
      <w:r>
        <w:rPr>
          <w:rFonts w:ascii="Times New Roman" w:hAnsi="Times New Roman"/>
          <w:color w:val="000000"/>
          <w:highlight w:val="white"/>
        </w:rPr>
        <w:t xml:space="preserve"> in the spleen during infections with all three </w:t>
      </w:r>
      <w:r>
        <w:rPr>
          <w:rFonts w:ascii="Times New Roman" w:hAnsi="Times New Roman"/>
          <w:i/>
          <w:iCs/>
          <w:color w:val="000000"/>
          <w:highlight w:val="white"/>
        </w:rPr>
        <w:t>Eimeria</w:t>
      </w:r>
      <w:r>
        <w:rPr>
          <w:rFonts w:ascii="Times New Roman" w:hAnsi="Times New Roman"/>
          <w:color w:val="000000"/>
          <w:highlight w:val="white"/>
        </w:rPr>
        <w:t xml:space="preserve"> isolates.</w:t>
      </w:r>
      <w:r>
        <w:rPr>
          <w:rFonts w:ascii="Times New Roman" w:hAnsi="Times New Roman"/>
          <w:color w:val="000000"/>
        </w:rPr>
        <w:t xml:space="preserve"> IL6 is expressed during the initial stage of inflammation at the site of infection, where it </w:t>
      </w:r>
      <w:r>
        <w:rPr>
          <w:rFonts w:ascii="Times New Roman" w:hAnsi="Times New Roman"/>
          <w:color w:val="000000"/>
          <w:highlight w:val="white"/>
        </w:rPr>
        <w:t>has a role in stimulating the intestinal epithelial proliferation and repair after injury (Kuhn et al</w:t>
      </w:r>
      <w:bookmarkStart w:id="38" w:name="__UnoMark__10551_2905672918"/>
      <w:bookmarkEnd w:id="38"/>
      <w:r>
        <w:rPr>
          <w:rFonts w:ascii="Times New Roman" w:hAnsi="Times New Roman"/>
          <w:color w:val="000000"/>
          <w:highlight w:val="white"/>
        </w:rPr>
        <w:t>,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 xml:space="preserve">marked induction of </w:t>
      </w:r>
      <w:r>
        <w:rPr>
          <w:rFonts w:ascii="Times New Roman" w:hAnsi="Times New Roman"/>
          <w:i/>
          <w:iCs/>
          <w:color w:val="000000"/>
          <w:highlight w:val="white"/>
        </w:rPr>
        <w:t>Il6</w:t>
      </w:r>
      <w:r>
        <w:rPr>
          <w:rFonts w:ascii="Times New Roman" w:hAnsi="Times New Roman"/>
          <w:color w:val="000000"/>
          <w:highlight w:val="white"/>
        </w:rPr>
        <w:t xml:space="preserve"> transcription between 5 and 7 dpi has been reported at the site of infection (</w:t>
      </w:r>
      <w:bookmarkStart w:id="39" w:name="__UnoMark__10550_2905672918"/>
      <w:bookmarkEnd w:id="39"/>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pPr>
        <w:pStyle w:val="Normal"/>
        <w:spacing w:lineRule="auto" w:line="360"/>
        <w:jc w:val="both"/>
        <w:rPr/>
      </w:pPr>
      <w:r>
        <w:rPr>
          <w:rFonts w:ascii="Times New Roman" w:hAnsi="Times New Roman"/>
          <w:color w:val="000000"/>
        </w:rPr>
        <w:t xml:space="preserve">Similarly, </w:t>
      </w:r>
      <w:r>
        <w:rPr>
          <w:rFonts w:ascii="Times New Roman" w:hAnsi="Times New Roman"/>
          <w:i/>
          <w:iCs/>
          <w:color w:val="000000"/>
        </w:rPr>
        <w:t>Tgfβ</w:t>
      </w:r>
      <w:r>
        <w:rPr>
          <w:rFonts w:ascii="Times New Roman" w:hAnsi="Times New Roman"/>
          <w:color w:val="000000"/>
        </w:rPr>
        <w:t xml:space="preserve"> mRNA expression levels seemed elevated in the spleen early during infection with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only in the latter significantly though). The simultaneous elevation of </w:t>
      </w:r>
      <w:r>
        <w:rPr>
          <w:rFonts w:ascii="Times New Roman" w:hAnsi="Times New Roman"/>
          <w:i/>
          <w:iCs/>
          <w:color w:val="000000"/>
        </w:rPr>
        <w:t>Il6</w:t>
      </w:r>
      <w:r>
        <w:rPr>
          <w:rFonts w:ascii="Times New Roman" w:hAnsi="Times New Roman"/>
          <w:color w:val="000000"/>
        </w:rPr>
        <w:t xml:space="preserve"> expression levels, may indicate the involvement of a Th17 pathway to control the infection events. </w:t>
      </w:r>
      <w:r>
        <w:rPr>
          <w:rFonts w:ascii="Times New Roman" w:hAnsi="Times New Roman"/>
          <w:i/>
          <w:iCs/>
          <w:color w:val="000000"/>
        </w:rPr>
        <w:t>Tgfβ</w:t>
      </w:r>
      <w:r>
        <w:rPr>
          <w:rFonts w:ascii="Times New Roman" w:hAnsi="Times New Roman"/>
          <w:color w:val="000000"/>
        </w:rPr>
        <w:t xml:space="preserve"> and </w:t>
      </w:r>
      <w:r>
        <w:rPr>
          <w:rFonts w:ascii="Times New Roman" w:hAnsi="Times New Roman"/>
          <w:i/>
          <w:iCs/>
          <w:color w:val="000000"/>
        </w:rPr>
        <w:t>Il6</w:t>
      </w:r>
      <w:r>
        <w:rPr>
          <w:rFonts w:ascii="Times New Roman" w:hAnsi="Times New Roman"/>
          <w:color w:val="000000"/>
        </w:rPr>
        <w:t xml:space="preserve"> play crucial roles in the induction of IL17 expression from naïve CD4+ T cells </w:t>
      </w:r>
      <w:bookmarkStart w:id="40" w:name="__tag_402675636"/>
      <w:bookmarkEnd w:id="40"/>
      <w:r>
        <w:rPr>
          <w:rFonts w:ascii="Times New Roman" w:hAnsi="Times New Roman"/>
          <w:color w:val="000000"/>
        </w:rPr>
        <w:t xml:space="preserve">of mouse </w:t>
      </w:r>
      <w:bookmarkStart w:id="41"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41"/>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2" w:name="__UnoMark__10544_2905672918"/>
      <w:r>
        <w:rPr>
          <w:rFonts w:ascii="Times New Roman" w:hAnsi="Times New Roman"/>
          <w:color w:val="000000"/>
        </w:rPr>
        <w:t>(Stange, 2013)</w:t>
      </w:r>
      <w:bookmarkEnd w:id="42"/>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pPr>
      <w:r>
        <w:rPr>
          <w:rFonts w:ascii="Times New Roman" w:hAnsi="Times New Roman"/>
          <w:color w:val="000000"/>
        </w:rPr>
        <w:t xml:space="preserve">The apparent differences in immune response of the wild 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 directly after its isolation.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e serial passaging resembled that observed for our wild derived isolate. T</w:t>
      </w:r>
      <w:r>
        <w:rPr>
          <w:rStyle w:val="Emphasis"/>
          <w:rFonts w:ascii="Times New Roman" w:hAnsi="Times New Roman"/>
          <w:bCs/>
          <w:i w:val="false"/>
          <w:iCs w:val="false"/>
          <w:color w:val="000000"/>
        </w:rPr>
        <w:t xml:space="preserve">he consequences of serial passaging could then be seen as the result of an accidental evolutionary experiment </w:t>
      </w:r>
      <w:bookmarkStart w:id="43" w:name="__UnoMark__10540_2905672918"/>
      <w:r>
        <w:rPr>
          <w:rStyle w:val="Emphasis"/>
          <w:rFonts w:ascii="Times New Roman" w:hAnsi="Times New Roman"/>
          <w:bCs/>
          <w:i w:val="false"/>
          <w:iCs w:val="false"/>
          <w:color w:val="000000"/>
        </w:rPr>
        <w:t>(Ebert, 1998)</w:t>
      </w:r>
      <w:bookmarkEnd w:id="43"/>
      <w:r>
        <w:rPr>
          <w:rStyle w:val="Emphasis"/>
          <w:rFonts w:ascii="Times New Roman" w:hAnsi="Times New Roman"/>
          <w:bCs/>
          <w:i w:val="false"/>
          <w:iCs w:val="false"/>
          <w:color w:val="000000"/>
        </w:rPr>
        <w:t xml:space="preserve">. </w:t>
      </w:r>
    </w:p>
    <w:p>
      <w:pPr>
        <w:pStyle w:val="Normal"/>
        <w:spacing w:lineRule="auto" w:line="360"/>
        <w:jc w:val="both"/>
        <w:rPr/>
      </w:pPr>
      <w:r>
        <w:rPr>
          <w:rStyle w:val="Emphasis"/>
          <w:rFonts w:ascii="Times New Roman" w:hAnsi="Times New Roman"/>
          <w:bCs/>
          <w:i w:val="false"/>
          <w:iCs w:val="false"/>
          <w:color w:val="000000"/>
        </w:rPr>
        <w:t xml:space="preserve">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original ecological and evolutionary context.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is one of the most relevant parasites for wildlife immunology and, for representative infection experiments, we recommend to isolate strains of the parasite from the natural system with minimal prior passaging.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
    </w:p>
    <w:p>
      <w:pPr>
        <w:pStyle w:val="Normal"/>
        <w:spacing w:lineRule="auto" w:line="360"/>
        <w:jc w:val="both"/>
        <w:rPr/>
      </w:pPr>
      <w:r>
        <w:rPr>
          <w:b/>
          <w:bCs/>
        </w:rPr>
        <w:t>3. Material and Methods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rPr>
        <w:t xml:space="preserve">3.1. </w:t>
      </w:r>
      <w:r>
        <w:rPr>
          <w:rFonts w:ascii="Times New Roman" w:hAnsi="Times New Roman"/>
          <w:b/>
          <w:bCs/>
        </w:rPr>
        <w:t>Isolation of E. falciformis Brandenburg88 (EfalW) and E. ferrisi Brandenburg64 (EferW)</w:t>
      </w:r>
    </w:p>
    <w:p>
      <w:pPr>
        <w:pStyle w:val="Normal"/>
        <w:spacing w:lineRule="auto" w:line="360"/>
        <w:jc w:val="both"/>
        <w:rPr/>
      </w:pPr>
      <w:r>
        <w:rPr>
          <w:rFonts w:ascii="Times New Roman" w:hAnsi="Times New Roman"/>
        </w:rPr>
        <w:t xml:space="preserve">The pure inocula of wild derived isolates of </w:t>
      </w:r>
      <w:r>
        <w:rPr>
          <w:rFonts w:ascii="Times New Roman" w:hAnsi="Times New Roman"/>
          <w:i/>
          <w:iCs/>
        </w:rPr>
        <w:t>E. falciformis</w:t>
      </w:r>
      <w:r>
        <w:rPr>
          <w:rFonts w:ascii="Times New Roman" w:hAnsi="Times New Roman"/>
        </w:rPr>
        <w:t xml:space="preserve"> Brandenburg88 and </w:t>
      </w:r>
      <w:r>
        <w:rPr>
          <w:rFonts w:ascii="Times New Roman" w:hAnsi="Times New Roman"/>
          <w:i/>
          <w:iCs/>
        </w:rPr>
        <w:t>E. ferrisi</w:t>
      </w:r>
      <w:r>
        <w:rPr>
          <w:rFonts w:ascii="Times New Roman" w:hAnsi="Times New Roman"/>
        </w:rPr>
        <w:t xml:space="preserve"> Brandenburg64 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rPr/>
        <w:t xml:space="preserve">te </w:t>
      </w:r>
      <w:r>
        <w:rPr>
          <w:i/>
          <w:iCs/>
        </w:rPr>
        <w:t>E. falciformis</w:t>
      </w:r>
      <w:r>
        <w:rPr/>
        <w:t xml:space="preserve"> Brandenburg88 had been caught at 13.84 52.2678 DD, the mouse yielding </w:t>
      </w:r>
      <w:r>
        <w:rPr>
          <w:i/>
          <w:iCs/>
        </w:rPr>
        <w:t>E. ferrsi</w:t>
      </w:r>
      <w:r>
        <w:rPr/>
        <w:t xml:space="preserve"> Brandenburg64 at 13.4642 52.4164 DD. </w:t>
      </w:r>
    </w:p>
    <w:p>
      <w:pPr>
        <w:pStyle w:val="Normal"/>
        <w:spacing w:lineRule="auto" w:line="360"/>
        <w:jc w:val="both"/>
        <w:rPr>
          <w:rFonts w:ascii="Times New Roman" w:hAnsi="Times New Roman"/>
          <w:highlight w:val="white"/>
        </w:rPr>
      </w:pPr>
      <w:r>
        <w:rPr>
          <w:highlight w:val="white"/>
        </w:rPr>
        <w:t xml:space="preserve">Isolates were identified through amplification and sequence comparison of three genetic markers (small ribosomal subunit 18S, Cytochrome c Oxidase I COI and Open Reading Frame 470 ORF470) </w:t>
      </w:r>
      <w:r>
        <w:rPr>
          <w:color w:val="000000"/>
        </w:rPr>
        <w:t xml:space="preserve">using primers previously reported by </w:t>
      </w:r>
      <w:r>
        <w:rPr>
          <w:color w:val="000000"/>
          <w:highlight w:val="white"/>
        </w:rPr>
        <w:t>Kvičerová et al. (2008), Ogedengbe et al. (2011) and Zhao and Duszynski (2001).</w:t>
      </w:r>
      <w:r>
        <w:rPr>
          <w:highlight w:val="white"/>
        </w:rPr>
        <w:t xml:space="preserve"> Sequences were generated by LGC (Berlin) based on forward and reverse primes and resulting forward and reverse reads were merged to a consensus sequence. Sequences from </w:t>
      </w:r>
      <w:r>
        <w:rPr>
          <w:i/>
          <w:iCs/>
          <w:highlight w:val="white"/>
        </w:rPr>
        <w:t>E. falciformis</w:t>
      </w:r>
      <w:r>
        <w:rPr>
          <w:highlight w:val="white"/>
        </w:rPr>
        <w:t xml:space="preserve"> Brandenburg88 (MH751942, MH755305, MH755336) and </w:t>
      </w:r>
      <w:r>
        <w:rPr>
          <w:i/>
          <w:iCs/>
          <w:highlight w:val="white"/>
        </w:rPr>
        <w:t>E. ferrisi</w:t>
      </w:r>
      <w:r>
        <w:rPr>
          <w:highlight w:val="white"/>
        </w:rPr>
        <w:t xml:space="preserve"> Brandenburg64 (MH751927, MH777469, MH755326) were deposited in the NCBI Genbank.</w:t>
      </w:r>
    </w:p>
    <w:p>
      <w:pPr>
        <w:pStyle w:val="Normal"/>
        <w:spacing w:lineRule="auto" w:line="360"/>
        <w:jc w:val="both"/>
        <w:rPr/>
      </w:pPr>
      <w:r>
        <w:rPr/>
        <w:t xml:space="preserve">From flotations of these faecal samples 300 and 600 oocysts for </w:t>
      </w:r>
      <w:r>
        <w:rPr>
          <w:i/>
          <w:iCs/>
        </w:rPr>
        <w:t xml:space="preserve">E. ferrisi </w:t>
      </w:r>
      <w:r>
        <w:rPr/>
        <w:t xml:space="preserve">Brandenburg64 and </w:t>
      </w:r>
      <w:r>
        <w:rPr>
          <w:i/>
          <w:iCs/>
        </w:rPr>
        <w:t>E. falciformis</w:t>
      </w:r>
      <w:r>
        <w:rPr/>
        <w:t xml:space="preserve"> Brandenburg88, respectively, were inoculated into 16 weeks old female NMRI mice. All mice were reared individually in wire cages in isolation cabinets and provided with food and water </w:t>
      </w:r>
      <w:r>
        <w:rPr>
          <w:i/>
          <w:iCs/>
        </w:rPr>
        <w:t>ad libitum</w:t>
      </w:r>
      <w:r>
        <w:rP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a light microscope and were then stored at 4 °C for about 1 month prior to use. The inoculum of </w:t>
      </w:r>
      <w:r>
        <w:rPr>
          <w:i/>
          <w:iCs/>
        </w:rPr>
        <w:t>E. falciformis</w:t>
      </w:r>
      <w:r>
        <w:rPr/>
        <w:t xml:space="preserve"> BayerHaberkorn1970 was prepared simultaneously using the same protocol. </w:t>
      </w:r>
    </w:p>
    <w:p>
      <w:pPr>
        <w:pStyle w:val="Normal"/>
        <w:spacing w:lineRule="auto" w:line="360"/>
        <w:jc w:val="both"/>
        <w:rPr>
          <w:b/>
          <w:b/>
          <w:bCs/>
        </w:rPr>
      </w:pPr>
      <w:r>
        <w:rPr>
          <w:b/>
          <w:bCs/>
        </w:rPr>
      </w:r>
    </w:p>
    <w:p>
      <w:pPr>
        <w:pStyle w:val="Normal"/>
        <w:spacing w:lineRule="auto" w:line="360"/>
        <w:jc w:val="both"/>
        <w:rPr/>
      </w:pPr>
      <w:r>
        <w:rPr>
          <w:b/>
          <w:bCs/>
        </w:rPr>
        <w:t>3.2.  Infection protocol, oocyst counting and sample collection</w:t>
      </w:r>
    </w:p>
    <w:p>
      <w:pPr>
        <w:pStyle w:val="Normal"/>
        <w:spacing w:lineRule="auto" w:line="360"/>
        <w:jc w:val="both"/>
        <w:rPr/>
      </w:pPr>
      <w:r>
        <w:rPr/>
        <w:t xml:space="preserve">60 female NMRI mice (10 to 12 weeks old) were randomly assigned to one of four groups, including a control group that was not inoculated. Oocyst concentrations were adjusted by counting the total number of oocysts in 10 µl, directly on a standard microscope slide. Using these inocula, 45 mice (15 per group) were inoculated via oral gavage with 0.1 ml of inoculum containing a single dose of 200 sporulated oocysts. </w:t>
      </w:r>
    </w:p>
    <w:p>
      <w:pPr>
        <w:pStyle w:val="Normal"/>
        <w:spacing w:lineRule="auto" w:line="360"/>
        <w:jc w:val="both"/>
        <w:rPr/>
      </w:pPr>
      <w:r>
        <w:rPr/>
        <w:t>Faeces were collected daily, weighted and stored in 2%</w:t>
      </w:r>
      <w:r>
        <w:rPr>
          <w:rFonts w:ascii="Times New Roman" w:hAnsi="Times New Roman"/>
        </w:rPr>
        <w:t xml:space="preserve"> solution of potassium dichromate. For flotation the faecal material was homogenized, centrifuged at 3175g and the pellet was washed with distilled water. Oocysts were recovered from the sediment by 2 successive flotations in saturated NaCl solution each followed by washing. After the last washing 2 ml PBS were added, the pellet was suspended and 10 µl of the solution were loaded into a “Neubauer-improved chamber”. Oocysts were counted in eight grid squares. Then the number of oocysts per gram faeces was obtained according to the (0.1 µl) volume of one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pPr>
      <w:r>
        <w:rPr>
          <w:rFonts w:ascii="Times New Roman" w:hAnsi="Times New Roman"/>
        </w:rPr>
        <w:t>During the 11 days of the experiment the body weight of mice was recorded. From each group three mice were sacrificed on 3, 5, 7, 9, and 11 dpi. Immediately after death the viscera were exonerated and spleen and caeca removed. Caecal contents were gently removed with physiological NaCl solution and the tissue was cut longitudinally into two pieces. One piece was transferred into a 1.5 ml tube containing RNAlater® (Life Technologies; Carlsbad, USA) and stored for 4 h at 4°C before being transferred to -20 °C. The second piece of caecum tissue was fixed in 4% f</w:t>
      </w:r>
      <w:r>
        <w:rPr>
          <w:rFonts w:ascii="Times New Roman" w:hAnsi="Times New Roman"/>
          <w:color w:val="000000"/>
        </w:rPr>
        <w:t>ormalin and stored at room temperature for histological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caecum tissue</w:t>
      </w:r>
    </w:p>
    <w:p>
      <w:pPr>
        <w:pStyle w:val="Normal"/>
        <w:spacing w:lineRule="auto" w:line="360"/>
        <w:jc w:val="both"/>
        <w:rPr/>
      </w:pPr>
      <w:r>
        <w:rPr>
          <w:rFonts w:ascii="Times New Roman" w:hAnsi="Times New Roman"/>
        </w:rPr>
        <w:t>Frozen caecum tissue was manually homogenized by grinding in liquid nitrogen. Genomic DNA was extracted using innu PREP DNA Mini Kit® (Analytik Jena; Jena, Germany) according to the manufacturer’s protocol incorporating proteinase K digestion. Purified DNA was stored at -20°C.</w:t>
      </w:r>
    </w:p>
    <w:p>
      <w:pPr>
        <w:pStyle w:val="Normal"/>
        <w:spacing w:lineRule="auto" w:line="360"/>
        <w:jc w:val="both"/>
        <w:rPr/>
      </w:pPr>
      <w:r>
        <w:rPr>
          <w:rFonts w:ascii="Times New Roman" w:hAnsi="Times New Roman"/>
        </w:rPr>
        <w:t xml:space="preserve">A Mitochondrial COI fragment of </w:t>
      </w:r>
      <w:r>
        <w:rPr>
          <w:rFonts w:ascii="Times New Roman" w:hAnsi="Times New Roman"/>
          <w:i/>
          <w:iCs/>
        </w:rPr>
        <w:t xml:space="preserve">Eimeria </w:t>
      </w:r>
      <w:r>
        <w:rPr>
          <w:rFonts w:ascii="Times New Roman" w:hAnsi="Times New Roman"/>
        </w:rPr>
        <w:t>spp. was amplified using primers Eim-COI-forward 5’TGTCTATTCACTTGGGCTATTGT3’ and Eim-COI-reverse</w:t>
      </w:r>
      <w:r>
        <w:rPr>
          <w:rFonts w:ascii="Times New Roman" w:hAnsi="Times New Roman"/>
          <w:i/>
          <w:iCs/>
        </w:rPr>
        <w:t xml:space="preserve"> </w:t>
      </w:r>
      <w:r>
        <w:rPr>
          <w:rFonts w:ascii="Times New Roman" w:hAnsi="Times New Roman"/>
        </w:rPr>
        <w:t xml:space="preserve">5’GGATCACCGTTAAATGAGGCA 3’. Host genomic DNA was amplified using a primer pair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DNA samples were added for qPCR to Multiplate™ 96-Well PCR plates (BioRad; Hercules, USA), with reactions performed in duplicate for each sample. Each plate also contained a non template control and a plate control sample (ddH2O).</w:t>
      </w:r>
      <w:r>
        <w:rPr>
          <w:rFonts w:ascii="Times New Roman" w:hAnsi="Times New Roman"/>
        </w:rPr>
        <w:t xml:space="preserve"> The qPCR mixture was prepared using the iQ</w:t>
      </w:r>
      <w:r>
        <w:rPr>
          <w:rFonts w:ascii="Times New Roman" w:hAnsi="Times New Roman"/>
          <w:color w:val="000000"/>
        </w:rPr>
        <w:t xml:space="preserve">™ </w:t>
      </w:r>
      <w:r>
        <w:rPr>
          <w:rFonts w:ascii="Times New Roman" w:hAnsi="Times New Roman"/>
        </w:rPr>
        <w:t xml:space="preserve"> SYBR® Green PCR Kit (Bio-Rad; Hercules, USA):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 ng/μl template DNA. The thermal cycling protocol was set as follows: initial denaturation for 15 min at 95°C, followed by 40 cycles of 15 sec at 95°C, 30 sec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 at 68°C and measuring the fluorescence signal at the end of every step.</w:t>
      </w:r>
    </w:p>
    <w:p>
      <w:pPr>
        <w:pStyle w:val="Normal"/>
        <w:spacing w:lineRule="auto" w:line="360"/>
        <w:jc w:val="both"/>
        <w:rPr/>
      </w:pPr>
      <w:r>
        <w:rPr>
          <w:rFonts w:ascii="Times New Roman" w:hAnsi="Times New Roman"/>
        </w:rPr>
        <w:t xml:space="preserve">qPCR amplifications were performed using the Bio-Rad CFX96, Thermalcycler1000 system, which determined the cycle at threshold (Ct) fluorescence. </w:t>
      </w:r>
      <w:r>
        <w:rPr>
          <w:rFonts w:ascii="Times New Roman" w:hAnsi="Times New Roman"/>
          <w:color w:val="000000"/>
        </w:rPr>
        <w:t>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after RT-PCR by adding a stepwise temperature increase from of 65.0°C to 95.0°C, with 0.5°C increment. </w:t>
      </w:r>
      <w:r>
        <w:rPr>
          <w:rFonts w:ascii="Times New Roman" w:hAnsi="Times New Roman"/>
        </w:rPr>
        <w:t xml:space="preserve">After calculating mean Ct of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∆Ct between mouse and parasite DNA. This is equivalent to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The number of copies was calculated by taking the antilog for some examples in the text.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Frozen spleen tissue was homogenized by grinding in liquid nitrogen. Total RNA was isolated using the PureLink™ RNA Mini Kit (</w:t>
      </w:r>
      <w:hyperlink r:id="rId13">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Waltham, USA</w:t>
      </w:r>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Samples were homogenized at room temperature using a Precellys® 24 tissue homogenizer (VWR; Radnor, USA) twice at 6,000 rpm for 20 sec interrupted by a 30 sec cooling break. Samples were centrifuged for 1 min at maximum speed (13,400 rpm) to eliminate foam. Supernatant was collected and mixed at a 1:1 ratio with 70% Ethanol. Afterwards, 600 µl of the mixture was added on a spin filter and centrifuged at 13,400 rpm for 30 sec. On-column DNase digestion was performed using </w:t>
      </w:r>
      <w:r>
        <w:rPr>
          <w:rStyle w:val="Emphasis"/>
          <w:rFonts w:ascii="Times New Roman" w:hAnsi="Times New Roman"/>
          <w:i w:val="false"/>
          <w:iCs w:val="false"/>
        </w:rPr>
        <w:t>PureLink DNase (</w:t>
      </w:r>
      <w:hyperlink r:id="rId14">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Waltham, USA</w:t>
      </w:r>
      <w:r>
        <w:rPr>
          <w:rFonts w:ascii="Times New Roman" w:hAnsi="Times New Roman"/>
          <w:color w:val="000000"/>
        </w:rPr>
        <w:t xml:space="preserve">) according to the manufacturer protocol. Column </w:t>
      </w:r>
      <w:r>
        <w:rPr>
          <w:rFonts w:ascii="Times New Roman" w:hAnsi="Times New Roman"/>
        </w:rPr>
        <w:t xml:space="preserve">washing and elution was preformed as indicated by the manufacturer. </w:t>
      </w:r>
    </w:p>
    <w:p>
      <w:pPr>
        <w:pStyle w:val="Normal"/>
        <w:spacing w:lineRule="auto" w:line="360"/>
        <w:jc w:val="both"/>
        <w:rPr/>
      </w:pPr>
      <w:r>
        <w:rPr>
          <w:rFonts w:ascii="Times New Roman" w:hAnsi="Times New Roman"/>
        </w:rPr>
        <w:t xml:space="preserve">Synthesis of complementary DNA (cDNA) was performed using the RevertAid H Minus First Strand cDNA Synthesis Kit (Thermo Fisher Scientific, Waltham, USA) with engineered RevertAid™ H Minus M-MuLV Reverse Transcriptase (200 U/µl). Nuclease-free water and 2 µl Oligo (dT)18 primers (100 µM, 0.5 µg/µl) were added to 1 µg template RNA to a total volume of 22 µl. To denature potential secondary structures, the mixture was heated to 65°C for 5 min using the 2720 Thermal Cycler (Applied Biosystems; Foster City, USA) and rapidly cooled on ice afterwards to prevent renaturation. </w:t>
      </w:r>
    </w:p>
    <w:p>
      <w:pPr>
        <w:pStyle w:val="Normal"/>
        <w:spacing w:lineRule="auto" w:line="360"/>
        <w:jc w:val="both"/>
        <w:rPr/>
      </w:pPr>
      <w:r>
        <w:rPr>
          <w:rFonts w:ascii="Times New Roman" w:hAnsi="Times New Roman"/>
        </w:rPr>
        <w:t xml:space="preserve">Reverse transcription was carried out adding the reverse transcriptase mix and incubating for 60 min at 42°C followed by a termination at 70°C for 10 min.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 xml:space="preserve">We measured the mRNA expression levels of seven target genes: </w:t>
      </w:r>
      <w:r>
        <w:rPr>
          <w:rFonts w:ascii="Times New Roman" w:hAnsi="Times New Roman"/>
          <w:i/>
          <w:iCs/>
          <w:color w:val="000000"/>
        </w:rPr>
        <w:t>CxCL9</w:t>
      </w:r>
      <w:r>
        <w:rPr>
          <w:rFonts w:ascii="Times New Roman" w:hAnsi="Times New Roman"/>
          <w:color w:val="000000"/>
        </w:rPr>
        <w:t xml:space="preserve">, </w:t>
      </w:r>
      <w:r>
        <w:rPr>
          <w:rFonts w:ascii="Times New Roman" w:hAnsi="Times New Roman"/>
          <w:i/>
          <w:iCs/>
          <w:color w:val="000000"/>
        </w:rPr>
        <w:t>Il10</w:t>
      </w:r>
      <w:r>
        <w:rPr>
          <w:rFonts w:ascii="Times New Roman" w:hAnsi="Times New Roman"/>
          <w:color w:val="000000"/>
        </w:rPr>
        <w:t xml:space="preserve">, </w:t>
      </w:r>
      <w:r>
        <w:rPr>
          <w:rFonts w:ascii="Times New Roman" w:hAnsi="Times New Roman"/>
          <w:i/>
          <w:iCs/>
          <w:color w:val="000000"/>
        </w:rPr>
        <w:t>Il12</w:t>
      </w:r>
      <w:r>
        <w:rPr>
          <w:rFonts w:ascii="Times New Roman" w:hAnsi="Times New Roman"/>
          <w:color w:val="000000"/>
        </w:rPr>
        <w:t xml:space="preserve">, </w:t>
      </w:r>
      <w:r>
        <w:rPr>
          <w:rFonts w:ascii="Times New Roman" w:hAnsi="Times New Roman"/>
          <w:i/>
          <w:iCs/>
          <w:color w:val="000000"/>
        </w:rPr>
        <w:t>Tgfβ</w:t>
      </w:r>
      <w:r>
        <w:rPr>
          <w:rFonts w:ascii="Times New Roman" w:hAnsi="Times New Roman"/>
          <w:color w:val="000000"/>
        </w:rPr>
        <w:t xml:space="preserve">, </w:t>
      </w:r>
      <w:r>
        <w:rPr>
          <w:rFonts w:ascii="Times New Roman" w:hAnsi="Times New Roman"/>
          <w:i/>
          <w:iCs/>
          <w:color w:val="000000"/>
        </w:rPr>
        <w:t>Stat6</w:t>
      </w:r>
      <w:r>
        <w:rPr>
          <w:rFonts w:ascii="Times New Roman" w:hAnsi="Times New Roman"/>
          <w:color w:val="000000"/>
        </w:rPr>
        <w:t xml:space="preserve">, </w:t>
      </w:r>
      <w:r>
        <w:rPr>
          <w:rFonts w:ascii="Times New Roman" w:hAnsi="Times New Roman"/>
          <w:i/>
          <w:iCs/>
          <w:color w:val="000000"/>
        </w:rPr>
        <w:t xml:space="preserve">Il6 and Infγ. Cdc42, Ppia </w:t>
      </w:r>
      <w:r>
        <w:rPr>
          <w:rFonts w:ascii="Times New Roman" w:hAnsi="Times New Roman"/>
          <w:i w:val="false"/>
          <w:iCs w:val="false"/>
          <w:color w:val="000000"/>
        </w:rPr>
        <w:t>and</w:t>
      </w:r>
      <w:r>
        <w:rPr>
          <w:rFonts w:ascii="Times New Roman" w:hAnsi="Times New Roman"/>
          <w:i/>
          <w:iCs/>
          <w:color w:val="000000"/>
        </w:rPr>
        <w:t xml:space="preserve"> Ppip</w:t>
      </w:r>
      <w:r>
        <w:rPr>
          <w:rFonts w:ascii="Times New Roman" w:hAnsi="Times New Roman"/>
          <w:i w:val="false"/>
          <w:iCs w:val="false"/>
          <w:color w:val="000000"/>
        </w:rPr>
        <w:t xml:space="preserve"> were confirmed to be suitable as reference genes using 16 randomly selected cDNA samples in an analysis of mRNA expression stability (Axtner et al, 2009; Weyrich et al, 2010) performed in qbase+ (Biogazelle; Zwijnaarde, Belgium) as implemented in the Bio-Rad CFX96 Thermalcycler1000.</w:t>
      </w:r>
      <w:r>
        <w:rPr>
          <w:rFonts w:ascii="Times New Roman" w:hAnsi="Times New Roman"/>
          <w:i/>
          <w:iCs/>
          <w:color w:val="000000"/>
        </w:rPr>
        <w:t xml:space="preserve"> </w:t>
      </w:r>
      <w:r>
        <w:rPr>
          <w:rFonts w:ascii="Times New Roman" w:hAnsi="Times New Roman"/>
          <w:i w:val="false"/>
          <w:iCs w:val="false"/>
          <w:color w:val="000000"/>
        </w:rPr>
        <w:t>Respective p</w:t>
      </w:r>
      <w:r>
        <w:rPr>
          <w:rFonts w:ascii="Times New Roman" w:hAnsi="Times New Roman"/>
          <w:color w:val="000000"/>
        </w:rPr>
        <w:t xml:space="preserve">rimers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1"/>
        <w:gridCol w:w="4140"/>
        <w:gridCol w:w="1875"/>
        <w:gridCol w:w="2548"/>
      </w:tblGrid>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cDNA samples were split between PCR plates (Multiplate™ 96-Well, Bio-Rad; Hercules, USA) with reactions performed in duplicate for each sample. If the standard deviation of Ct values between duplicates was &gt; 0.4, reactions for corresponding samples were repeated (as described in Weyrich et al., 2010). Each plate contained a non-template control sample.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 at 95°C, followed by 40 cycles of 15 sec at 95 °C, 30 sec at 60 °C and 30 sec at 68 °C with a measuring of the fluorescence signal at the end of every step. The cycle of quantification (Ct) was determined by the amplification plot in CFX96-Bio-Rad software. Finally, a melting curve was generated to confirm the specificity of the reaction by adding a cycle of 65°C to 95°C in 0.5°C increments. </w:t>
      </w:r>
    </w:p>
    <w:p>
      <w:pPr>
        <w:pStyle w:val="Normal"/>
        <w:tabs>
          <w:tab w:val="left" w:pos="4396" w:leader="none"/>
        </w:tabs>
        <w:spacing w:lineRule="auto" w:line="360"/>
        <w:jc w:val="both"/>
        <w:rPr/>
      </w:pPr>
      <w:r>
        <w:rPr>
          <w:rFonts w:ascii="Times New Roman" w:hAnsi="Times New Roman"/>
          <w:i w:val="false"/>
          <w:iCs w:val="false"/>
          <w:color w:val="000000"/>
        </w:rPr>
        <w:t xml:space="preserve">Normalization factors (NF) were calculated using the geometric mean of expression values for the three reference genes (Vandesompele et al, 2002). </w:t>
      </w:r>
      <w:r>
        <w:rPr>
          <w:rFonts w:ascii="Times New Roman" w:hAnsi="Times New Roman"/>
          <w:color w:val="000000"/>
        </w:rPr>
        <w:t>Relative expression values for each tested sample and each gene of interest were then calculated using the ∆Ct method, adjusted for the amplification efficiencies of each primer pair and standardized against the NF of each sample.</w:t>
      </w:r>
    </w:p>
    <w:p>
      <w:pPr>
        <w:pStyle w:val="Normal"/>
        <w:tabs>
          <w:tab w:val="left" w:pos="4396" w:leader="none"/>
        </w:tabs>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embedded in paraffin and sectioned with 4 μm thickness. Tissue slides were stained with hematoxylin and eosin and were examined at 100- 200- and 400-times magnification by light microscopy. The extent and nature of leukocyte infiltration in the intestinal wall was assessed based on the morphological characteristic of each cell type. A numerical score was assigned with 0 representing no leukocyte infiltration and 1, 2, and 3 mild, moderate, or severe infiltration, respectively.</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44" w:name="__UnoMark__10537_2905672918"/>
      <w:r>
        <w:rPr>
          <w:rFonts w:ascii="Times New Roman" w:hAnsi="Times New Roman"/>
        </w:rPr>
        <w:t>(R Development Core Team, 2008)</w:t>
      </w:r>
      <w:bookmarkEnd w:id="44"/>
      <w:r>
        <w:rPr>
          <w:rFonts w:ascii="Times New Roman" w:hAnsi="Times New Roman"/>
        </w:rPr>
        <w:t xml:space="preserve">. The non-parametric Mann-Whitney U-test was used to assess differences in the distributions of weight loss or oocyst shedding. 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rPr>
        <w:t>Acknowledgements</w:t>
      </w:r>
    </w:p>
    <w:p>
      <w:pPr>
        <w:pStyle w:val="Normal"/>
        <w:spacing w:lineRule="auto" w:line="360"/>
        <w:jc w:val="both"/>
        <w:rPr/>
      </w:pPr>
      <w:r>
        <w:rPr>
          <w:rFonts w:ascii="Times New Roman" w:hAnsi="Times New Roman"/>
        </w:rPr>
        <w:t>The a</w:t>
      </w:r>
      <w:r>
        <w:rPr>
          <w:rFonts w:ascii="Times New Roman" w:hAnsi="Times New Roman"/>
          <w:color w:val="00000A"/>
          <w:sz w:val="24"/>
        </w:rPr>
        <w:t>uthors thank Deborah Dymke and Jenny Jost for help during the infection experiment, Anke Schmidt and Doris Krumnow for excellent technical assistance in qPCR and histology, respectively.</w:t>
      </w:r>
    </w:p>
    <w:p>
      <w:pPr>
        <w:pStyle w:val="Heading1"/>
        <w:spacing w:lineRule="auto" w:line="360" w:before="200" w:after="200"/>
        <w:jc w:val="left"/>
        <w:rPr>
          <w:rFonts w:ascii="Times New Roman" w:hAnsi="Times New Roman"/>
          <w:color w:val="00000A"/>
          <w:sz w:val="24"/>
        </w:rPr>
      </w:pPr>
      <w:r>
        <w:rPr>
          <w:rFonts w:eastAsia="Liberation Sans" w:cs="Liberation Sans" w:ascii="Times New Roman" w:hAnsi="Times New Roman"/>
          <w:color w:val="00000A"/>
          <w:sz w:val="24"/>
        </w:rPr>
        <w:t>Funding</w:t>
      </w:r>
    </w:p>
    <w:p>
      <w:pPr>
        <w:pStyle w:val="Normal"/>
        <w:keepNext w:val="true"/>
        <w:widowControl/>
        <w:spacing w:lineRule="auto" w:line="360"/>
        <w:jc w:val="both"/>
        <w:rPr/>
      </w:pPr>
      <w:r>
        <w:rPr>
          <w:rFonts w:eastAsia="Liberation Sans" w:cs="Liberation Sans" w:ascii="Times New Roman" w:hAnsi="Times New Roman"/>
          <w:color w:val="00000A"/>
          <w:sz w:val="24"/>
        </w:rPr>
        <w:t xml:space="preserve">This work was funded by the German Research Foundation (DFG) Grant [HE 7320/1-1] to EH and by the Leibniz Institute for Zoo and Wildlife research (IZW). EAK was supported by the Erasmus Mundus PEACE II program. VHJ is an associated student of GRK 2046 funded by the DFG. </w:t>
      </w:r>
    </w:p>
    <w:p>
      <w:pPr>
        <w:pStyle w:val="Normal"/>
        <w:widowControl/>
        <w:spacing w:lineRule="auto" w:line="360"/>
        <w:jc w:val="both"/>
        <w:rPr>
          <w:rFonts w:eastAsia="Liberation Sans" w:cs="Liberation Sans"/>
        </w:rPr>
      </w:pPr>
      <w:r>
        <w:rPr>
          <w:rFonts w:eastAsia="Liberation Sans" w:cs="Liberation Sans"/>
        </w:rPr>
      </w:r>
    </w:p>
    <w:p>
      <w:pPr>
        <w:pStyle w:val="Normal"/>
        <w:spacing w:lineRule="auto" w:line="360"/>
        <w:jc w:val="both"/>
        <w:rPr>
          <w:rFonts w:ascii="Times New Roman" w:hAnsi="Times New Roman"/>
          <w:b/>
          <w:b/>
          <w:bCs/>
          <w:color w:val="00000A"/>
          <w:sz w:val="24"/>
        </w:rPr>
      </w:pPr>
      <w:r>
        <w:rPr>
          <w:rFonts w:ascii="Times New Roman" w:hAnsi="Times New Roman"/>
          <w:b/>
          <w:bCs/>
          <w:color w:val="00000A"/>
          <w:sz w:val="24"/>
        </w:rPr>
        <w:t>Bibliography</w:t>
      </w:r>
    </w:p>
    <w:p>
      <w:pPr>
        <w:pStyle w:val="Bibliography1"/>
        <w:spacing w:lineRule="auto" w:line="360"/>
        <w:jc w:val="both"/>
        <w:rPr>
          <w:lang w:val="de-DE"/>
        </w:rPr>
      </w:pPr>
      <w:r>
        <w:rPr/>
        <w:t xml:space="preserve">Abolins, S., King, E.C., Lazarou, L., Weldon, L., Hughes, L., Drescher, P., Raynes, J.G., Hafalla, J.C.R., Viney, M.E., Riley, E.M., 2017. The comparative immunology of wild and laboratory mice, </w:t>
      </w:r>
      <w:r>
        <w:rPr>
          <w:i/>
        </w:rPr>
        <w:t>Mus musculus domesticus</w:t>
      </w:r>
      <w:r>
        <w:rPr/>
        <w:t xml:space="preserve">. </w:t>
      </w:r>
      <w:r>
        <w:rPr>
          <w:lang w:val="de-DE"/>
        </w:rPr>
        <w:t>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rPr>
        <w:t xml:space="preserve">. </w:t>
      </w:r>
      <w:r>
        <w:rPr>
          <w:rStyle w:val="InternetLink"/>
          <w:color w:val="000000"/>
          <w:u w:val="none"/>
        </w:rPr>
        <w:t>Validation of internal reference genes for quantitative real-time PCR in a non-model organism, the yellow-necked mouse, Apodemus flavicollis</w:t>
      </w:r>
      <w:r>
        <w:rPr>
          <w:color w:val="000000"/>
        </w:rPr>
        <w:t xml:space="preserve"> BMC research notes 2 (1), 264.</w:t>
      </w:r>
    </w:p>
    <w:p>
      <w:pPr>
        <w:pStyle w:val="Bibliography1"/>
        <w:spacing w:lineRule="auto" w:line="360"/>
        <w:jc w:val="both"/>
        <w:rPr/>
      </w:pPr>
      <w:r>
        <w:rPr>
          <w:color w:val="000000"/>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Infect. Immun. 82, 3127-3140.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lang w:val="de-D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val="false"/>
          <w:iCs w:val="false"/>
        </w:rPr>
        <w:t>Nature Reviews Genetics 4</w:t>
      </w:r>
      <w:r>
        <w:rPr/>
        <w:t xml:space="preserve"> (6): 457–69. https://doi.org/10.1038/nrg1088.</w:t>
      </w:r>
    </w:p>
    <w:p>
      <w:pPr>
        <w:pStyle w:val="Normal"/>
        <w:spacing w:lineRule="auto" w:line="360"/>
        <w:ind w:left="737"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pPr>
      <w:r>
        <w:rPr/>
        <w:t>Heinrich, P.C, Castell, J. V. and Andus, T., “Interleukin-6 and the Acute Phase Response.,” Biochemical Journal 265, no. 3 (February 1, 1990): 621–36.</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lang w:val="fr-FR"/>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w:t>
      </w:r>
      <w:r>
        <w:rPr>
          <w:lang w:val="fr-FR"/>
        </w:rPr>
        <w:t>Nat. Commun. 7, 13277. https://doi.org/10.1038/ncomms13277</w:t>
      </w:r>
    </w:p>
    <w:p>
      <w:pPr>
        <w:pStyle w:val="Bibliography1"/>
        <w:spacing w:lineRule="auto" w:line="360"/>
        <w:jc w:val="both"/>
        <w:rPr/>
      </w:pPr>
      <w:r>
        <w:rPr>
          <w:lang w:val="fr-FR"/>
        </w:rPr>
        <w:t xml:space="preserve">Hnida, J.A., Duszynski, D.W., 1999. </w:t>
      </w:r>
      <w:r>
        <w:rPr/>
        <w:t>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t>Korn T., Bettelli E., Oukka M., Kuchroo V.K., 2009. IL-17 and Th17 Cells. Annual Review of Immunology 27:1, 485-517.</w:t>
      </w:r>
    </w:p>
    <w:p>
      <w:pPr>
        <w:pStyle w:val="Bibliography1"/>
        <w:spacing w:lineRule="auto" w:line="360"/>
        <w:jc w:val="both"/>
        <w:rPr/>
      </w:pPr>
      <w:r>
        <w:rPr/>
        <w:t>Kuhn, K.A., Manieri, N.A., Liu, T.-C., Stappenbeck, T.S., 2014. 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Normal"/>
        <w:spacing w:lineRule="auto" w:line="288" w:before="0" w:after="140"/>
        <w:ind w:left="480" w:hanging="480"/>
        <w:jc w:val="both"/>
        <w:rPr/>
      </w:pPr>
      <w:r>
        <w:rPr/>
        <w:t xml:space="preserve">Kvičerová, J., M. Pakandl, and V. Hypša. 2008. Phylogenetic Relationships among Eimeria Spp. (Apicomplexa, Eimeriidae) Infecting Rabbits: Evolutionary Significance of Biological and Morphological Features. </w:t>
      </w:r>
      <w:r>
        <w:rPr>
          <w:i w:val="false"/>
          <w:iCs w:val="false"/>
        </w:rPr>
        <w:t>Parasitology 135</w:t>
      </w:r>
      <w:r>
        <w:rPr/>
        <w:t xml:space="preserve"> (4): 443–52. https://doi.org/10.1017/S0031182007004106.</w:t>
      </w:r>
    </w:p>
    <w:p>
      <w:pPr>
        <w:pStyle w:val="Bibliography1"/>
        <w:spacing w:lineRule="auto" w:line="360"/>
        <w:jc w:val="both"/>
        <w:rPr>
          <w:lang w:val="fr-FR"/>
        </w:rPr>
      </w:pPr>
      <w:r>
        <w:rPr/>
        <w:t xml:space="preserve">Kvičerová, J., Hypša, V., 2013. Host-Parasite Incongruences in Rodent Eimeria Suggest Significant Role of Adaptation Rather than Cophylogeny in Maintenance of Host Specificity. </w:t>
      </w:r>
      <w:r>
        <w:rPr>
          <w:lang w:val="fr-FR"/>
        </w:rPr>
        <w:t>PLoS ONE 8, e63601. https://doi.org/10.1371/journal,pone.0063601</w:t>
      </w:r>
    </w:p>
    <w:p>
      <w:pPr>
        <w:pStyle w:val="Bibliography1"/>
        <w:spacing w:lineRule="auto" w:line="360"/>
        <w:jc w:val="both"/>
        <w:rPr/>
      </w:pPr>
      <w:r>
        <w:rPr>
          <w:lang w:val="fr-FR"/>
        </w:rPr>
        <w:t xml:space="preserve">Laurent, F., Mancassola, R., Lacroix, S., Menezes, R., Naciri, M., 2001. </w:t>
      </w:r>
      <w:r>
        <w:rPr/>
        <w:t>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lang w:val="fr-FR"/>
        </w:rPr>
      </w:pPr>
      <w:r>
        <w:rPr/>
        <w:t xml:space="preserve">Lillehoj, H.S., 1998. Role of T lymphocytes and cytokines in coccidiosis. </w:t>
      </w:r>
      <w:r>
        <w:rPr>
          <w:lang w:val="fr-FR"/>
        </w:rPr>
        <w:t>Int. J. Parasitol. 28, 1071–1081. https://doi.org/10.1016/S0020-7519(98)00075-7</w:t>
      </w:r>
    </w:p>
    <w:p>
      <w:pPr>
        <w:pStyle w:val="Bibliography1"/>
        <w:spacing w:lineRule="auto" w:line="360"/>
        <w:jc w:val="both"/>
        <w:rPr/>
      </w:pPr>
      <w:r>
        <w:rPr>
          <w:lang w:val="fr-FR"/>
        </w:rPr>
        <w:t xml:space="preserve">Lillehoj, H.S., Choi, K.D., 1998. </w:t>
      </w:r>
      <w:r>
        <w:rPr/>
        <w:t>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Molnár, K., Ostoros, G., Dunams-Morel, D., Rosenthal, B.M., 2012. Eimeria that infect fish are diverse and are related to, but distinct from, those that infect terrestrial vertebrates. Infect. Genet. Evol. J. Mol. Epidemiol. Evol. Genet. Infect. Dis. 12, 1810–1815. https://doi.org/10.1016/j.meegid.2012.06.017</w:t>
      </w:r>
    </w:p>
    <w:p>
      <w:pPr>
        <w:pStyle w:val="Bibliography1"/>
        <w:spacing w:lineRule="auto" w:line="360"/>
        <w:jc w:val="both"/>
        <w:rPr>
          <w:lang w:val="de-DE"/>
        </w:rPr>
      </w:pPr>
      <w:r>
        <w:rPr/>
        <w:t>Muñoz-Caro, T., Machado Ribeiro da Silva, L., Rentería-Solis, Z., Taubert, A., Hermosilla, C., 2016. Neutrophil extracellular traps in the intestinal mucosa of Eimer</w:t>
      </w:r>
      <w:r>
        <w:rPr>
          <w:color w:val="00000A"/>
          <w:sz w:val="24"/>
        </w:rPr>
        <w:t xml:space="preserve">ia-infected animals. Asian Pac. J. Trop. Biomed. </w:t>
      </w:r>
      <w:r>
        <w:rPr>
          <w:color w:val="00000A"/>
          <w:sz w:val="24"/>
          <w:u w:val="none"/>
          <w:lang w:val="de-DE"/>
        </w:rPr>
        <w:t xml:space="preserve">6, 301–307. </w:t>
      </w:r>
      <w:r>
        <w:rPr>
          <w:rStyle w:val="InternetLink"/>
          <w:color w:val="00000A"/>
          <w:sz w:val="24"/>
          <w:u w:val="none"/>
          <w:lang w:val="de-DE"/>
        </w:rPr>
        <w:t>https://doi.org/10.1016/j.apjtb.2016.01.001.</w:t>
      </w:r>
    </w:p>
    <w:p>
      <w:pPr>
        <w:pStyle w:val="Normal"/>
        <w:spacing w:lineRule="auto" w:line="288" w:before="0" w:after="140"/>
        <w:ind w:left="480" w:hanging="480"/>
        <w:jc w:val="both"/>
        <w:rPr/>
      </w:pPr>
      <w:r>
        <w:rPr>
          <w:lang w:val="de-DE"/>
        </w:rPr>
        <w:t xml:space="preserve">Ogedengbe, JD., Hanner RH, Barta JR., 2011. </w:t>
      </w:r>
      <w:r>
        <w:rPr/>
        <w:t xml:space="preserve">“DNA Barcoding Identifies Eimeria Species and Contributes to the Phylogenetics of Coccidian Parasites (Eimeriorina, Apicomplexa, Alveolata).” </w:t>
      </w:r>
      <w:r>
        <w:rPr>
          <w:i/>
        </w:rPr>
        <w:t>International Journal for Parasitology</w:t>
      </w:r>
      <w:r>
        <w:rPr/>
        <w:t xml:space="preserve"> 41 (8): 843–50. https://doi.org/10.1016/j.ijpara.2011.03.007.</w:t>
      </w:r>
    </w:p>
    <w:p>
      <w:pPr>
        <w:pStyle w:val="Bibliography1"/>
        <w:spacing w:lineRule="auto" w:line="360"/>
        <w:jc w:val="both"/>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Pigeault, R., Vézilier, J., Cornet, S., Zélé, F., Nicot, A., Perret, P., Gandon, S., Rivero, A., 2015. Avian malaria: a new lease of life for an old experimental model to study the evolutionary ecology of Plasmodium. Philos. Trans. R. Soc. B Biol. Sci. 370. https://doi.org/10.1098/rstb.2014.0300.</w:t>
      </w:r>
    </w:p>
    <w:p>
      <w:pPr>
        <w:pStyle w:val="Bibliography1"/>
        <w:spacing w:lineRule="auto" w:line="360"/>
        <w:jc w:val="both"/>
        <w:rPr/>
      </w:pPr>
      <w:r>
        <w:rPr/>
        <w:t>Prowse, S.J., Pallister, J., 1989. Interferon Release as a Measure of the T-Cell Response to Coccidial Antigens in Chickens, Avian Pathology: Journal of the W.V.P.A 18,4: 619–30, https://doi.org/10.1080/03079458908418637.</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Rincón, M., Anguita J., Nakamura T., Fikrig E., Flavell RA., Interleukin (IL)-6 Directs the Differentiation of IL-4-Producing CD4+ T Cells,” The Journal of Experimental Medicine 185, 3: 461–69.</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t>Schmid, M., Lehmann, M.J., Lucius, R., Gupta, N., 2012. Apicomplexan parasite, Eimeria falciformis, co-opts host tryptophan catabolism for life cycle progression in mouse. J. Biol. Chem. 287, 20197–20207. https://doi.org/10.1074/jbc.M112.351999</w:t>
      </w:r>
    </w:p>
    <w:p>
      <w:pPr>
        <w:pStyle w:val="Bibliography1"/>
        <w:spacing w:lineRule="auto" w:line="360"/>
        <w:jc w:val="both"/>
        <w:rPr>
          <w:lang w:val="fr-FR"/>
        </w:rPr>
      </w:pPr>
      <w:r>
        <w:rPr/>
        <w:t xml:space="preserve">Sehrawat, S., Rouse, B.T., 2017. Interplay of Regulatory T Cell and Th17 Cells during Infectious Diseases in Humans and Animals. </w:t>
      </w:r>
      <w:r>
        <w:rPr>
          <w:lang w:val="fr-FR"/>
        </w:rPr>
        <w:t>Front. Immunol. 8. https://doi.org/10.3389/fimmu.2017.00341</w:t>
      </w:r>
    </w:p>
    <w:p>
      <w:pPr>
        <w:pStyle w:val="Bibliography1"/>
        <w:spacing w:lineRule="auto" w:line="360"/>
        <w:jc w:val="both"/>
        <w:rPr/>
      </w:pPr>
      <w:r>
        <w:rPr>
          <w:lang w:val="fr-FR"/>
        </w:rPr>
        <w:t xml:space="preserve">Shirley, M.W., Bellatti, M.A., 1988. </w:t>
      </w:r>
      <w:r>
        <w:rPr/>
        <w:t>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Eimeria falciformis. Parasitol. Res. 97, 458–465. https://doi.org/10.1007/s00436-005-1464-x</w:t>
      </w:r>
    </w:p>
    <w:p>
      <w:pPr>
        <w:pStyle w:val="Bibliography1"/>
        <w:spacing w:lineRule="auto" w:line="360"/>
        <w:jc w:val="both"/>
        <w:rPr/>
      </w:pPr>
      <w:r>
        <w:rPr/>
        <w:t>Swaggerty, C.L., Genovese, K.J., He, H., Duke, S.E., Pevzner, I.Y., Kogut, M.H., 2011. Broiler breeders with an efficient innate immune respo</w:t>
      </w:r>
      <w:r>
        <w:rPr>
          <w:color w:val="00000A"/>
          <w:sz w:val="24"/>
        </w:rPr>
        <w:t xml:space="preserve">nse are more resistant to Eimeria tenella. </w:t>
      </w:r>
      <w:r>
        <w:rPr>
          <w:color w:val="00000A"/>
          <w:sz w:val="24"/>
          <w:lang w:val="de-DE"/>
        </w:rPr>
        <w:t xml:space="preserve">Poult. Sci. </w:t>
      </w:r>
      <w:r>
        <w:rPr>
          <w:color w:val="00000A"/>
          <w:sz w:val="24"/>
          <w:u w:val="none"/>
          <w:lang w:val="de-DE"/>
        </w:rPr>
        <w:t xml:space="preserve">90, 1014–1019. </w:t>
      </w:r>
      <w:r>
        <w:rPr>
          <w:rStyle w:val="InternetLink"/>
          <w:color w:val="00000A"/>
          <w:sz w:val="24"/>
          <w:u w:val="none"/>
          <w:lang w:val="de-DE"/>
        </w:rPr>
        <w:t>https://doi.org/10.3382/ps.2010-01246</w:t>
      </w:r>
    </w:p>
    <w:p>
      <w:pPr>
        <w:pStyle w:val="Bibliography1"/>
        <w:spacing w:lineRule="auto" w:line="360"/>
        <w:jc w:val="both"/>
        <w:rPr/>
      </w:pPr>
      <w:r>
        <w:rPr>
          <w:lang w:val="de-DE"/>
        </w:rPr>
        <w:t>Weyrich A., Axtner J., Sommer S., 201</w:t>
      </w:r>
      <w:r>
        <w:rPr>
          <w:color w:val="000000"/>
          <w:lang w:val="de-DE"/>
        </w:rPr>
        <w:t xml:space="preserve">0. </w:t>
      </w:r>
      <w:r>
        <w:rPr>
          <w:rStyle w:val="InternetLink"/>
          <w:color w:val="000000"/>
          <w:u w:val="none"/>
        </w:rPr>
        <w:t xml:space="preserve">Selection and validation of reference genes for real-time RT-PCR studies in the non-model species Delomys sublineatus, an endemic Brazilian rodent. </w:t>
      </w:r>
      <w:r>
        <w:rPr>
          <w:color w:val="000000"/>
        </w:rPr>
        <w:t xml:space="preserve"> Biochem. Biophys. Res. Commun. 392 (2), 145-149</w:t>
      </w:r>
    </w:p>
    <w:p>
      <w:pPr>
        <w:pStyle w:val="Bibliography1"/>
        <w:spacing w:lineRule="auto" w:line="360"/>
        <w:jc w:val="both"/>
        <w:rPr>
          <w:rStyle w:val="InternetLink"/>
          <w:color w:val="00000A"/>
          <w:u w:val="none"/>
        </w:rPr>
      </w:pPr>
      <w:r>
        <w:rPr/>
        <w:t>Vrba, V., Pakandl, M., 2015. Host specificity of turkey and chicken Eimeria: controlled cross-transmission studies and a phylogenetic view. Vet. Parasitol. 208, 118–124. https://doi.org/10.1016/j.vetpar.2015.01.017</w:t>
      </w:r>
    </w:p>
    <w:p>
      <w:pPr>
        <w:pStyle w:val="Normal"/>
        <w:spacing w:lineRule="auto" w:line="288" w:before="0" w:after="140"/>
        <w:ind w:left="480" w:hanging="480"/>
        <w:jc w:val="both"/>
        <w:rPr/>
      </w:pPr>
      <w:r>
        <w:rPr/>
        <w:t xml:space="preserve">Zhao, Xiaomin, and Donald W. Duszynski. 2001. Phylogenetic Relationships among Rodent Eimeria Species Determined by Plastid ORF470 and Nuclear 18S RDNA Sequences. </w:t>
      </w:r>
      <w:r>
        <w:rPr>
          <w:i w:val="false"/>
          <w:iCs w:val="false"/>
        </w:rPr>
        <w:t>International Journal for Parasitology 31</w:t>
      </w:r>
      <w:r>
        <w:rPr/>
        <w:t xml:space="preserve"> (7): 715–19. https://doi.org/10.1016/S0020-7519(01)00136-9.</w:t>
      </w:r>
    </w:p>
    <w:p>
      <w:pPr>
        <w:pStyle w:val="Bibliography1"/>
        <w:spacing w:lineRule="auto" w:line="360"/>
        <w:jc w:val="both"/>
        <w:rPr/>
      </w:pPr>
      <w:bookmarkStart w:id="45" w:name="__UnoMark__10316_2905672918"/>
      <w:r>
        <w:rPr/>
        <w:t>Zhou, Z., Hu, S., Wang, Z., Guo, Z., Qin, B., Nie, K., 2014. Expression of Chicken Toll-Like Receptors and Signal Adaptors in Spleen and Cecum of Young Chickens Infected with Eimeria tenella. https://doi.org/10.1016/S2095-3119(13)60384-6</w:t>
      </w:r>
      <w:bookmarkEnd w:id="45"/>
    </w:p>
    <w:sectPr>
      <w:footerReference w:type="default" r:id="rId15"/>
      <w:type w:val="nextPage"/>
      <w:pgSz w:w="12240" w:h="15840"/>
      <w:pgMar w:left="1134" w:right="1134" w:header="0" w:top="1134"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43697252"/>
    </w:sdtPr>
    <w:sdtContent>
      <w:p>
        <w:pPr>
          <w:pStyle w:val="Footer"/>
          <w:jc w:val="right"/>
          <w:rPr/>
        </w:pPr>
        <w:r>
          <w:rPr/>
          <w:fldChar w:fldCharType="begin"/>
        </w:r>
        <w:r>
          <w:rPr/>
          <w:instrText> PAGE </w:instrText>
        </w:r>
        <w:r>
          <w:rPr/>
          <w:fldChar w:fldCharType="separate"/>
        </w:r>
        <w:r>
          <w:rPr/>
          <w:t>10</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27676676"/>
    </w:sdtPr>
    <w:sdtContent>
      <w:p>
        <w:pPr>
          <w:pStyle w:val="Footer"/>
          <w:jc w:val="right"/>
          <w:rPr/>
        </w:pPr>
        <w:r>
          <w:rPr/>
          <w:fldChar w:fldCharType="begin"/>
        </w:r>
        <w:r>
          <w:rPr/>
          <w:instrText> PAGE </w:instrText>
        </w:r>
        <w:r>
          <w:rPr/>
          <w:fldChar w:fldCharType="separate"/>
        </w:r>
        <w:r>
          <w:rPr/>
          <w:t>11</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41301861"/>
    </w:sdtPr>
    <w:sdtContent>
      <w:p>
        <w:pPr>
          <w:pStyle w:val="Footer"/>
          <w:jc w:val="right"/>
          <w:rPr/>
        </w:pPr>
        <w:r>
          <w:rPr/>
          <w:fldChar w:fldCharType="begin"/>
        </w:r>
        <w:r>
          <w:rPr/>
          <w:instrText> PAGE </w:instrText>
        </w:r>
        <w:r>
          <w:rPr/>
          <w:fldChar w:fldCharType="separate"/>
        </w:r>
        <w:r>
          <w:rPr/>
          <w:t>33</w:t>
        </w:r>
        <w:r>
          <w:rPr/>
          <w:fldChar w:fldCharType="end"/>
        </w:r>
      </w:p>
    </w:sdtContent>
  </w:sdt>
  <w:p>
    <w:pPr>
      <w:pStyle w:val="Footer"/>
      <w:rPr/>
    </w:pPr>
    <w:r>
      <w:rPr/>
    </w:r>
  </w:p>
</w:ftr>
</file>

<file path=word/settings.xml><?xml version="1.0" encoding="utf-8"?>
<w:settings xmlns:w="http://schemas.openxmlformats.org/wordprocessingml/2006/main">
  <w:zoom w:percent="11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customStyle="1">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customStyle="1">
    <w:name w:val="ListLabel 1"/>
    <w:qFormat/>
    <w:rPr>
      <w:rFonts w:ascii="Times New Roman" w:hAnsi="Times New Roman"/>
      <w:i w:val="false"/>
      <w:iCs w:val="false"/>
      <w:color w:val="000000"/>
    </w:rPr>
  </w:style>
  <w:style w:type="character" w:styleId="ListLabel2" w:customStyle="1">
    <w:name w:val="ListLabel 2"/>
    <w:qFormat/>
    <w:rPr>
      <w:rFonts w:ascii="Times New Roman" w:hAnsi="Times New Roman"/>
      <w:color w:val="000000"/>
      <w:u w:val="none"/>
    </w:rPr>
  </w:style>
  <w:style w:type="character" w:styleId="ListLabel3" w:customStyle="1">
    <w:name w:val="ListLabel 3"/>
    <w:qFormat/>
    <w:rPr/>
  </w:style>
  <w:style w:type="character" w:styleId="ListLabel4" w:customStyle="1">
    <w:name w:val="ListLabel 4"/>
    <w:qFormat/>
    <w:rPr>
      <w:rFonts w:ascii="Times New Roman" w:hAnsi="Times New Roman"/>
      <w:i w:val="false"/>
      <w:iCs w:val="false"/>
      <w:color w:val="000000"/>
    </w:rPr>
  </w:style>
  <w:style w:type="character" w:styleId="ListLabel5" w:customStyle="1">
    <w:name w:val="ListLabel 5"/>
    <w:qFormat/>
    <w:rPr>
      <w:rFonts w:ascii="Times New Roman" w:hAnsi="Times New Roman"/>
      <w:color w:val="000000"/>
      <w:u w:val="none"/>
    </w:rPr>
  </w:style>
  <w:style w:type="character" w:styleId="ListLabel6" w:customStyle="1">
    <w:name w:val="ListLabel 6"/>
    <w:qFormat/>
    <w:rPr/>
  </w:style>
  <w:style w:type="character" w:styleId="ListLabel7" w:customStyle="1">
    <w:name w:val="ListLabel 7"/>
    <w:qFormat/>
    <w:rPr>
      <w:rFonts w:ascii="Times New Roman" w:hAnsi="Times New Roman"/>
      <w:i w:val="false"/>
      <w:iCs w:val="false"/>
      <w:color w:val="000000"/>
    </w:rPr>
  </w:style>
  <w:style w:type="character" w:styleId="ListLabel8" w:customStyle="1">
    <w:name w:val="ListLabel 8"/>
    <w:qFormat/>
    <w:rPr>
      <w:rFonts w:ascii="Times New Roman" w:hAnsi="Times New Roman"/>
      <w:color w:val="000000"/>
      <w:u w:val="none"/>
    </w:rPr>
  </w:style>
  <w:style w:type="character" w:styleId="ListLabel9" w:customStyle="1">
    <w:name w:val="ListLabel 9"/>
    <w:qFormat/>
    <w:rPr/>
  </w:style>
  <w:style w:type="character" w:styleId="ListLabel10" w:customStyle="1">
    <w:name w:val="ListLabel 10"/>
    <w:qFormat/>
    <w:rPr>
      <w:rFonts w:ascii="Times New Roman" w:hAnsi="Times New Roman"/>
      <w:i w:val="false"/>
      <w:iCs w:val="false"/>
      <w:color w:val="000000"/>
    </w:rPr>
  </w:style>
  <w:style w:type="character" w:styleId="ListLabel11" w:customStyle="1">
    <w:name w:val="ListLabel 11"/>
    <w:qFormat/>
    <w:rPr>
      <w:rFonts w:ascii="Times New Roman" w:hAnsi="Times New Roman"/>
      <w:color w:val="000000"/>
      <w:u w:val="none"/>
    </w:rPr>
  </w:style>
  <w:style w:type="character" w:styleId="ListLabel12" w:customStyle="1">
    <w:name w:val="ListLabel 12"/>
    <w:qFormat/>
    <w:rPr/>
  </w:style>
  <w:style w:type="character" w:styleId="ListLabel13" w:customStyle="1">
    <w:name w:val="ListLabel 13"/>
    <w:qFormat/>
    <w:rPr>
      <w:rFonts w:ascii="Times New Roman" w:hAnsi="Times New Roman"/>
      <w:i w:val="false"/>
      <w:iCs w:val="false"/>
      <w:color w:val="000000"/>
    </w:rPr>
  </w:style>
  <w:style w:type="character" w:styleId="ListLabel14" w:customStyle="1">
    <w:name w:val="ListLabel 14"/>
    <w:qFormat/>
    <w:rPr>
      <w:rFonts w:ascii="Times New Roman" w:hAnsi="Times New Roman"/>
      <w:color w:val="000000"/>
      <w:u w:val="none"/>
    </w:rPr>
  </w:style>
  <w:style w:type="character" w:styleId="ListLabel15" w:customStyle="1">
    <w:name w:val="ListLabel 15"/>
    <w:qFormat/>
    <w:rPr/>
  </w:style>
  <w:style w:type="character" w:styleId="ListLabel16" w:customStyle="1">
    <w:name w:val="ListLabel 16"/>
    <w:qFormat/>
    <w:rPr>
      <w:rFonts w:ascii="Times New Roman" w:hAnsi="Times New Roman"/>
      <w:i w:val="false"/>
      <w:iCs w:val="false"/>
      <w:color w:val="000000"/>
    </w:rPr>
  </w:style>
  <w:style w:type="character" w:styleId="ListLabel17" w:customStyle="1">
    <w:name w:val="ListLabel 17"/>
    <w:qFormat/>
    <w:rPr>
      <w:rFonts w:ascii="Times New Roman" w:hAnsi="Times New Roman"/>
      <w:color w:val="000000"/>
      <w:u w:val="none"/>
    </w:rPr>
  </w:style>
  <w:style w:type="character" w:styleId="ListLabel18" w:customStyle="1">
    <w:name w:val="ListLabel 18"/>
    <w:qFormat/>
    <w:rPr/>
  </w:style>
  <w:style w:type="character" w:styleId="ListLabel19" w:customStyle="1">
    <w:name w:val="ListLabel 19"/>
    <w:qFormat/>
    <w:rPr>
      <w:rFonts w:ascii="Times New Roman" w:hAnsi="Times New Roman"/>
      <w:i w:val="false"/>
      <w:iCs w:val="false"/>
      <w:color w:val="000000"/>
    </w:rPr>
  </w:style>
  <w:style w:type="character" w:styleId="ListLabel20" w:customStyle="1">
    <w:name w:val="ListLabel 20"/>
    <w:qFormat/>
    <w:rPr>
      <w:rFonts w:ascii="Times New Roman" w:hAnsi="Times New Roman"/>
      <w:color w:val="000000"/>
      <w:u w:val="none"/>
    </w:rPr>
  </w:style>
  <w:style w:type="character" w:styleId="ListLabel21" w:customStyle="1">
    <w:name w:val="ListLabel 21"/>
    <w:qFormat/>
    <w:rPr/>
  </w:style>
  <w:style w:type="character" w:styleId="ListLabel22" w:customStyle="1">
    <w:name w:val="ListLabel 22"/>
    <w:qFormat/>
    <w:rPr>
      <w:rFonts w:ascii="Times New Roman" w:hAnsi="Times New Roman"/>
      <w:i w:val="false"/>
      <w:iCs w:val="false"/>
      <w:color w:val="000000"/>
    </w:rPr>
  </w:style>
  <w:style w:type="character" w:styleId="ListLabel23" w:customStyle="1">
    <w:name w:val="ListLabel 23"/>
    <w:qFormat/>
    <w:rPr>
      <w:rFonts w:ascii="Times New Roman" w:hAnsi="Times New Roman"/>
      <w:color w:val="000000"/>
      <w:u w:val="none"/>
    </w:rPr>
  </w:style>
  <w:style w:type="character" w:styleId="ListLabel24" w:customStyle="1">
    <w:name w:val="ListLabel 24"/>
    <w:qFormat/>
    <w:rPr/>
  </w:style>
  <w:style w:type="character" w:styleId="ListLabel25" w:customStyle="1">
    <w:name w:val="ListLabel 25"/>
    <w:qFormat/>
    <w:rPr>
      <w:rFonts w:ascii="Times New Roman" w:hAnsi="Times New Roman"/>
      <w:i w:val="false"/>
      <w:iCs w:val="false"/>
      <w:color w:val="000000"/>
    </w:rPr>
  </w:style>
  <w:style w:type="character" w:styleId="ListLabel26" w:customStyle="1">
    <w:name w:val="ListLabel 26"/>
    <w:qFormat/>
    <w:rPr>
      <w:rFonts w:ascii="Times New Roman" w:hAnsi="Times New Roman"/>
      <w:color w:val="000000"/>
      <w:u w:val="none"/>
    </w:rPr>
  </w:style>
  <w:style w:type="character" w:styleId="ListLabel27" w:customStyle="1">
    <w:name w:val="ListLabel 27"/>
    <w:qFormat/>
    <w:rPr/>
  </w:style>
  <w:style w:type="character" w:styleId="ListLabel28" w:customStyle="1">
    <w:name w:val="ListLabel 28"/>
    <w:qFormat/>
    <w:rPr>
      <w:rFonts w:ascii="Times New Roman" w:hAnsi="Times New Roman"/>
      <w:i w:val="false"/>
      <w:iCs w:val="false"/>
      <w:color w:val="000000"/>
    </w:rPr>
  </w:style>
  <w:style w:type="character" w:styleId="ListLabel29" w:customStyle="1">
    <w:name w:val="ListLabel 29"/>
    <w:qFormat/>
    <w:rPr>
      <w:rFonts w:ascii="Times New Roman" w:hAnsi="Times New Roman"/>
      <w:color w:val="000000"/>
      <w:u w:val="none"/>
    </w:rPr>
  </w:style>
  <w:style w:type="character" w:styleId="ListLabel30" w:customStyle="1">
    <w:name w:val="ListLabel 30"/>
    <w:qFormat/>
    <w:rPr/>
  </w:style>
  <w:style w:type="character" w:styleId="ListLabel31" w:customStyle="1">
    <w:name w:val="ListLabel 31"/>
    <w:qFormat/>
    <w:rPr>
      <w:rFonts w:ascii="Times New Roman" w:hAnsi="Times New Roman"/>
      <w:i w:val="false"/>
      <w:iCs w:val="false"/>
      <w:color w:val="000000"/>
    </w:rPr>
  </w:style>
  <w:style w:type="character" w:styleId="ListLabel32" w:customStyle="1">
    <w:name w:val="ListLabel 32"/>
    <w:qFormat/>
    <w:rPr>
      <w:rFonts w:ascii="Times New Roman" w:hAnsi="Times New Roman"/>
      <w:color w:val="000000"/>
      <w:u w:val="none"/>
    </w:rPr>
  </w:style>
  <w:style w:type="character" w:styleId="ListLabel33" w:customStyle="1">
    <w:name w:val="ListLabel 33"/>
    <w:qFormat/>
    <w:rPr/>
  </w:style>
  <w:style w:type="character" w:styleId="ListLabel34" w:customStyle="1">
    <w:name w:val="ListLabel 34"/>
    <w:qFormat/>
    <w:rPr>
      <w:rFonts w:ascii="Times New Roman" w:hAnsi="Times New Roman"/>
      <w:i w:val="false"/>
      <w:iCs w:val="false"/>
      <w:color w:val="000000"/>
    </w:rPr>
  </w:style>
  <w:style w:type="character" w:styleId="ListLabel35" w:customStyle="1">
    <w:name w:val="ListLabel 35"/>
    <w:qFormat/>
    <w:rPr>
      <w:rFonts w:ascii="Times New Roman" w:hAnsi="Times New Roman"/>
      <w:color w:val="000000"/>
      <w:u w:val="none"/>
    </w:rPr>
  </w:style>
  <w:style w:type="character" w:styleId="ListLabel36" w:customStyle="1">
    <w:name w:val="ListLabel 36"/>
    <w:qFormat/>
    <w:rPr/>
  </w:style>
  <w:style w:type="character" w:styleId="ListLabel37" w:customStyle="1">
    <w:name w:val="ListLabel 37"/>
    <w:qFormat/>
    <w:rPr>
      <w:rFonts w:ascii="Times New Roman" w:hAnsi="Times New Roman"/>
      <w:i w:val="false"/>
      <w:iCs w:val="false"/>
      <w:color w:val="000000"/>
    </w:rPr>
  </w:style>
  <w:style w:type="character" w:styleId="ListLabel38" w:customStyle="1">
    <w:name w:val="ListLabel 38"/>
    <w:qFormat/>
    <w:rPr>
      <w:rFonts w:ascii="Times New Roman" w:hAnsi="Times New Roman"/>
      <w:color w:val="000000"/>
      <w:u w:val="none"/>
    </w:rPr>
  </w:style>
  <w:style w:type="character" w:styleId="ListLabel39" w:customStyle="1">
    <w:name w:val="ListLabel 39"/>
    <w:qFormat/>
    <w:rPr/>
  </w:style>
  <w:style w:type="character" w:styleId="ListLabel40" w:customStyle="1">
    <w:name w:val="ListLabel 40"/>
    <w:qFormat/>
    <w:rPr>
      <w:rFonts w:ascii="Times New Roman" w:hAnsi="Times New Roman"/>
      <w:i w:val="false"/>
      <w:iCs w:val="false"/>
      <w:color w:val="000000"/>
    </w:rPr>
  </w:style>
  <w:style w:type="character" w:styleId="ListLabel41" w:customStyle="1">
    <w:name w:val="ListLabel 41"/>
    <w:qFormat/>
    <w:rPr>
      <w:rFonts w:ascii="Times New Roman" w:hAnsi="Times New Roman"/>
      <w:color w:val="000000"/>
      <w:u w:val="none"/>
    </w:rPr>
  </w:style>
  <w:style w:type="character" w:styleId="ListLabel42" w:customStyle="1">
    <w:name w:val="ListLabel 42"/>
    <w:qFormat/>
    <w:rPr/>
  </w:style>
  <w:style w:type="character" w:styleId="ListLabel43" w:customStyle="1">
    <w:name w:val="ListLabel 43"/>
    <w:qFormat/>
    <w:rPr>
      <w:rFonts w:ascii="Times New Roman" w:hAnsi="Times New Roman"/>
      <w:i w:val="false"/>
      <w:iCs w:val="false"/>
      <w:color w:val="000000"/>
    </w:rPr>
  </w:style>
  <w:style w:type="character" w:styleId="ListLabel44" w:customStyle="1">
    <w:name w:val="ListLabel 44"/>
    <w:qFormat/>
    <w:rPr>
      <w:rFonts w:ascii="Times New Roman" w:hAnsi="Times New Roman"/>
      <w:color w:val="000000"/>
      <w:u w:val="none"/>
    </w:rPr>
  </w:style>
  <w:style w:type="character" w:styleId="ListLabel45" w:customStyle="1">
    <w:name w:val="ListLabel 45"/>
    <w:qFormat/>
    <w:rPr/>
  </w:style>
  <w:style w:type="character" w:styleId="ListLabel46" w:customStyle="1">
    <w:name w:val="ListLabel 46"/>
    <w:qFormat/>
    <w:rPr>
      <w:rFonts w:ascii="Times New Roman" w:hAnsi="Times New Roman"/>
      <w:i w:val="false"/>
      <w:iCs w:val="false"/>
      <w:color w:val="000000"/>
    </w:rPr>
  </w:style>
  <w:style w:type="character" w:styleId="ListLabel47" w:customStyle="1">
    <w:name w:val="ListLabel 47"/>
    <w:qFormat/>
    <w:rPr>
      <w:rFonts w:ascii="Times New Roman" w:hAnsi="Times New Roman"/>
      <w:color w:val="000000"/>
      <w:u w:val="none"/>
    </w:rPr>
  </w:style>
  <w:style w:type="character" w:styleId="ListLabel48" w:customStyle="1">
    <w:name w:val="ListLabel 48"/>
    <w:qFormat/>
    <w:rPr/>
  </w:style>
  <w:style w:type="character" w:styleId="ListLabel49" w:customStyle="1">
    <w:name w:val="ListLabel 49"/>
    <w:qFormat/>
    <w:rPr>
      <w:rFonts w:ascii="Times New Roman" w:hAnsi="Times New Roman"/>
      <w:i w:val="false"/>
      <w:iCs w:val="false"/>
      <w:color w:val="000000"/>
    </w:rPr>
  </w:style>
  <w:style w:type="character" w:styleId="ListLabel50" w:customStyle="1">
    <w:name w:val="ListLabel 50"/>
    <w:qFormat/>
    <w:rPr>
      <w:rFonts w:ascii="Times New Roman" w:hAnsi="Times New Roman"/>
      <w:color w:val="000000"/>
      <w:u w:val="none"/>
    </w:rPr>
  </w:style>
  <w:style w:type="character" w:styleId="ListLabel51" w:customStyle="1">
    <w:name w:val="ListLabel 51"/>
    <w:qFormat/>
    <w:rPr/>
  </w:style>
  <w:style w:type="character" w:styleId="ListLabel52" w:customStyle="1">
    <w:name w:val="ListLabel 52"/>
    <w:qFormat/>
    <w:rPr>
      <w:rFonts w:ascii="Times New Roman" w:hAnsi="Times New Roman"/>
      <w:i w:val="false"/>
      <w:iCs w:val="false"/>
      <w:color w:val="000000"/>
    </w:rPr>
  </w:style>
  <w:style w:type="character" w:styleId="ListLabel53" w:customStyle="1">
    <w:name w:val="ListLabel 53"/>
    <w:qFormat/>
    <w:rPr>
      <w:rFonts w:ascii="Times New Roman" w:hAnsi="Times New Roman"/>
      <w:color w:val="000000"/>
      <w:u w:val="none"/>
    </w:rPr>
  </w:style>
  <w:style w:type="character" w:styleId="ListLabel54" w:customStyle="1">
    <w:name w:val="ListLabel 54"/>
    <w:qFormat/>
    <w:rPr/>
  </w:style>
  <w:style w:type="character" w:styleId="ListLabel55" w:customStyle="1">
    <w:name w:val="ListLabel 55"/>
    <w:qFormat/>
    <w:rPr>
      <w:rFonts w:eastAsia="SimSun" w:cs="Lucida Sans"/>
      <w:color w:val="00000A"/>
      <w:kern w:val="2"/>
      <w:sz w:val="24"/>
      <w:szCs w:val="24"/>
      <w:lang w:val="de-DE" w:eastAsia="zh-CN" w:bidi="hi-IN"/>
    </w:rPr>
  </w:style>
  <w:style w:type="character" w:styleId="ListLabel56" w:customStyle="1">
    <w:name w:val="ListLabel 56"/>
    <w:qFormat/>
    <w:rPr>
      <w:rFonts w:ascii="Times New Roman" w:hAnsi="Times New Roman"/>
      <w:i w:val="false"/>
      <w:iCs w:val="false"/>
      <w:color w:val="000000"/>
    </w:rPr>
  </w:style>
  <w:style w:type="character" w:styleId="ListLabel57" w:customStyle="1">
    <w:name w:val="ListLabel 57"/>
    <w:qFormat/>
    <w:rPr>
      <w:rFonts w:ascii="Times New Roman" w:hAnsi="Times New Roman"/>
      <w:color w:val="000000"/>
      <w:u w:val="none"/>
    </w:rPr>
  </w:style>
  <w:style w:type="character" w:styleId="ListLabel58" w:customStyle="1">
    <w:name w:val="ListLabel 58"/>
    <w:qFormat/>
    <w:rPr/>
  </w:style>
  <w:style w:type="character" w:styleId="ListLabel59" w:customStyle="1">
    <w:name w:val="ListLabel 59"/>
    <w:qFormat/>
    <w:rPr>
      <w:rFonts w:eastAsia="SimSun" w:cs="Lucida Sans"/>
      <w:color w:val="00000A"/>
      <w:kern w:val="2"/>
      <w:sz w:val="24"/>
      <w:szCs w:val="24"/>
      <w:lang w:val="de-DE" w:eastAsia="zh-CN" w:bidi="hi-IN"/>
    </w:rPr>
  </w:style>
  <w:style w:type="character" w:styleId="Quotation" w:customStyle="1">
    <w:name w:val="Quotation"/>
    <w:qFormat/>
    <w:rPr>
      <w:i/>
      <w:iCs/>
    </w:rPr>
  </w:style>
  <w:style w:type="character" w:styleId="ListLabel60">
    <w:name w:val="ListLabel 60"/>
    <w:qFormat/>
    <w:rPr>
      <w:rFonts w:ascii="Times New Roman" w:hAnsi="Times New Roman"/>
      <w:i w:val="false"/>
      <w:iCs w:val="false"/>
      <w:color w:val="000000"/>
    </w:rPr>
  </w:style>
  <w:style w:type="character" w:styleId="ListLabel61">
    <w:name w:val="ListLabel 61"/>
    <w:qFormat/>
    <w:rPr>
      <w:rFonts w:ascii="Times New Roman" w:hAnsi="Times New Roman"/>
      <w:color w:val="000000"/>
      <w:u w:val="none"/>
    </w:rPr>
  </w:style>
  <w:style w:type="character" w:styleId="ListLabel62">
    <w:name w:val="ListLabel 62"/>
    <w:qFormat/>
    <w:rPr>
      <w:lang w:val="de-DE"/>
    </w:rPr>
  </w:style>
  <w:style w:type="character" w:styleId="ListLabel63">
    <w:name w:val="ListLabel 63"/>
    <w:qFormat/>
    <w:rPr>
      <w:color w:val="00000A"/>
      <w:u w:val="none"/>
    </w:rPr>
  </w:style>
  <w:style w:type="character" w:styleId="ListLabel64">
    <w:name w:val="ListLabel 64"/>
    <w:qFormat/>
    <w:rPr>
      <w:rFonts w:ascii="Times New Roman" w:hAnsi="Times New Roman"/>
      <w:i w:val="false"/>
      <w:iCs w:val="false"/>
      <w:color w:val="000000"/>
    </w:rPr>
  </w:style>
  <w:style w:type="character" w:styleId="ListLabel65">
    <w:name w:val="ListLabel 65"/>
    <w:qFormat/>
    <w:rPr>
      <w:rFonts w:ascii="Times New Roman" w:hAnsi="Times New Roman"/>
      <w:color w:val="000000"/>
      <w:u w:val="none"/>
    </w:rPr>
  </w:style>
  <w:style w:type="character" w:styleId="ListLabel66">
    <w:name w:val="ListLabel 66"/>
    <w:qFormat/>
    <w:rPr>
      <w:color w:val="00000A"/>
      <w:u w:val="none"/>
    </w:rPr>
  </w:style>
  <w:style w:type="character" w:styleId="ListLabel67">
    <w:name w:val="ListLabel 67"/>
    <w:qFormat/>
    <w:rPr>
      <w:rFonts w:ascii="Times New Roman" w:hAnsi="Times New Roman"/>
      <w:i w:val="false"/>
      <w:iCs w:val="false"/>
      <w:color w:val="000000"/>
    </w:rPr>
  </w:style>
  <w:style w:type="character" w:styleId="ListLabel68">
    <w:name w:val="ListLabel 68"/>
    <w:qFormat/>
    <w:rPr>
      <w:rFonts w:ascii="Times New Roman" w:hAnsi="Times New Roman"/>
      <w:color w:val="000000"/>
      <w:u w:val="none"/>
    </w:rPr>
  </w:style>
  <w:style w:type="character" w:styleId="ListLabel69">
    <w:name w:val="ListLabel 69"/>
    <w:qFormat/>
    <w:rPr>
      <w:rFonts w:ascii="Times New Roman" w:hAnsi="Times New Roman"/>
      <w:i w:val="false"/>
      <w:iCs w:val="false"/>
      <w:color w:val="000000"/>
    </w:rPr>
  </w:style>
  <w:style w:type="character" w:styleId="ListLabel70">
    <w:name w:val="ListLabel 70"/>
    <w:qFormat/>
    <w:rPr>
      <w:rFonts w:ascii="Times New Roman" w:hAnsi="Times New Roman"/>
      <w:color w:val="000000"/>
      <w:u w:val="none"/>
    </w:rPr>
  </w:style>
  <w:style w:type="character" w:styleId="ListLabel71">
    <w:name w:val="ListLabel 71"/>
    <w:qFormat/>
    <w:rPr>
      <w:rFonts w:ascii="Times New Roman" w:hAnsi="Times New Roman"/>
      <w:i w:val="false"/>
      <w:iCs w:val="false"/>
      <w:color w:val="000000"/>
    </w:rPr>
  </w:style>
  <w:style w:type="character" w:styleId="ListLabel72">
    <w:name w:val="ListLabel 72"/>
    <w:qFormat/>
    <w:rPr>
      <w:rFonts w:ascii="Times New Roman" w:hAnsi="Times New Roman"/>
      <w:color w:val="000000"/>
      <w:u w:val="none"/>
    </w:rPr>
  </w:style>
  <w:style w:type="character" w:styleId="ListLabel73">
    <w:name w:val="ListLabel 73"/>
    <w:qFormat/>
    <w:rPr>
      <w:rFonts w:ascii="Times New Roman" w:hAnsi="Times New Roman"/>
      <w:i w:val="false"/>
      <w:iCs w:val="false"/>
      <w:color w:val="000000"/>
    </w:rPr>
  </w:style>
  <w:style w:type="character" w:styleId="ListLabel74">
    <w:name w:val="ListLabel 74"/>
    <w:qFormat/>
    <w:rPr>
      <w:rFonts w:ascii="Times New Roman" w:hAnsi="Times New Roman"/>
      <w:color w:val="000000"/>
      <w:u w:val="none"/>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4"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5" Type="http://schemas.openxmlformats.org/officeDocument/2006/relationships/footer" Target="footer3.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630BF-CEB2-4149-8839-4E60B083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Application>LibreOffice/6.0.2.1$Linux_X86_64 LibreOffice_project/f7f06a8f319e4b62f9bc5095aa112a65d2f3ac89</Application>
  <Pages>33</Pages>
  <Words>10638</Words>
  <Characters>61390</Characters>
  <CharactersWithSpaces>71475</CharactersWithSpaces>
  <Paragraphs>525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2019-03-26T11:47:00Z</dcterms:created>
  <dc:creator>Alexandra Weyrich</dc:creator>
  <dc:description/>
  <dc:language>en-GB</dc:language>
  <cp:lastModifiedBy>Emanuel Heitlinger</cp:lastModifiedBy>
  <cp:lastPrinted>2019-03-26T17:18:00Z</cp:lastPrinted>
  <dcterms:modified xsi:type="dcterms:W3CDTF">2019-05-14T10:32:27Z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